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aps/>
        </w:rPr>
      </w:pPr>
      <w:hyperlink r:id="rId2" w:tgtFrame="https://www.miit.ru/depts/37">
        <w:r>
          <w:rPr>
            <w:rStyle w:val="ListLabel28"/>
            <w:caps/>
          </w:rPr>
          <w:t>Федеральное государственное автономное образовательное учреждение высшего образования "Российский университет транспорта"</w:t>
        </w:r>
      </w:hyperlink>
      <w:r>
        <w:rPr>
          <w:caps/>
        </w:rPr>
        <w:t xml:space="preserve"> (РУТ(МИИТ)</w:t>
      </w:r>
    </w:p>
    <w:p>
      <w:pPr>
        <w:pStyle w:val="Normal"/>
        <w:jc w:val="center"/>
        <w:rPr>
          <w:smallCaps/>
        </w:rPr>
      </w:pPr>
      <w:r>
        <w:rPr>
          <w:smallCaps/>
        </w:rPr>
      </w:r>
    </w:p>
    <w:p>
      <w:pPr>
        <w:pStyle w:val="Normal"/>
        <w:jc w:val="center"/>
        <w:rPr/>
      </w:pPr>
      <w:r>
        <w:rPr/>
        <w:t>Кафедра «Управление и защита информации»</w:t>
      </w:r>
    </w:p>
    <w:p>
      <w:pPr>
        <w:pStyle w:val="Normal"/>
        <w:jc w:val="center"/>
        <w:rPr>
          <w:smallCaps/>
        </w:rPr>
      </w:pPr>
      <w:r>
        <w:rPr>
          <w:smallCaps/>
        </w:rPr>
      </w:r>
    </w:p>
    <w:p>
      <w:pPr>
        <w:pStyle w:val="Normal"/>
        <w:jc w:val="center"/>
        <w:rPr>
          <w:smallCaps/>
        </w:rPr>
      </w:pPr>
      <w:r>
        <w:rPr>
          <w:smallCaps/>
        </w:rPr>
      </w:r>
    </w:p>
    <w:p>
      <w:pPr>
        <w:pStyle w:val="Normal"/>
        <w:jc w:val="center"/>
        <w:rPr>
          <w:b/>
          <w:smallCaps/>
        </w:rPr>
      </w:pPr>
      <w:r>
        <w:rPr>
          <w:b/>
          <w:smallCaps/>
        </w:rPr>
        <w:t>ОТЧЁТ</w:t>
      </w:r>
    </w:p>
    <w:p>
      <w:pPr>
        <w:pStyle w:val="Normal"/>
        <w:jc w:val="center"/>
        <w:rPr/>
      </w:pPr>
      <w:r>
        <w:rPr/>
        <w:t>по лабораторной работе № 3</w:t>
      </w:r>
    </w:p>
    <w:p>
      <w:pPr>
        <w:pStyle w:val="Normal"/>
        <w:jc w:val="center"/>
        <w:rPr/>
      </w:pPr>
      <w:r>
        <w:rPr/>
        <w:t>по дисциплине</w:t>
      </w:r>
    </w:p>
    <w:p>
      <w:pPr>
        <w:pStyle w:val="Normal"/>
        <w:jc w:val="center"/>
        <w:rPr>
          <w:smallCaps/>
        </w:rPr>
      </w:pPr>
      <w:r>
        <w:rPr>
          <w:smallCaps/>
        </w:rPr>
        <w:t>МАШИННО-ОРИЕНТИРОВАННЫЕ ЯЗЫКИ ПРОГРАММИРОВАНИЯ</w:t>
      </w:r>
    </w:p>
    <w:p>
      <w:pPr>
        <w:pStyle w:val="Normal"/>
        <w:jc w:val="center"/>
        <w:rPr/>
      </w:pPr>
      <w:r>
        <w:rPr/>
        <w:t>на тему</w:t>
      </w:r>
    </w:p>
    <w:p>
      <w:pPr>
        <w:pStyle w:val="Heading1"/>
        <w:jc w:val="center"/>
        <w:rPr>
          <w:rFonts w:ascii="Times New Roman" w:hAnsi="Times New Roman" w:eastAsia="Times New Roman" w:cs="Times New Roman"/>
          <w:smallCaps/>
          <w:sz w:val="28"/>
          <w:szCs w:val="28"/>
        </w:rPr>
      </w:pPr>
      <w:r>
        <w:rPr>
          <w:rFonts w:eastAsia="Times New Roman" w:cs="Times New Roman" w:ascii="Times New Roman" w:hAnsi="Times New Roman"/>
          <w:smallCaps/>
          <w:sz w:val="28"/>
          <w:szCs w:val="28"/>
        </w:rPr>
        <w:t>«Команды передачи управления»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Вариант № 9</w:t>
      </w:r>
    </w:p>
    <w:p>
      <w:pPr>
        <w:pStyle w:val="Normal"/>
        <w:jc w:val="center"/>
        <w:rPr>
          <w:smallCaps/>
        </w:rPr>
      </w:pPr>
      <w:r>
        <w:rPr>
          <w:smallCaps/>
        </w:rPr>
      </w:r>
    </w:p>
    <w:tbl>
      <w:tblPr>
        <w:tblW w:w="5267" w:type="dxa"/>
        <w:jc w:val="left"/>
        <w:tblInd w:w="407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3565"/>
      </w:tblGrid>
      <w:tr>
        <w:trPr/>
        <w:tc>
          <w:tcPr>
            <w:tcW w:w="1701" w:type="dxa"/>
            <w:tcBorders/>
          </w:tcPr>
          <w:p>
            <w:pPr>
              <w:pStyle w:val="Normal"/>
              <w:spacing w:before="0" w:after="0"/>
              <w:rPr/>
            </w:pPr>
            <w:r>
              <w:rPr/>
              <w:t>Выполнил</w:t>
            </w:r>
          </w:p>
        </w:tc>
        <w:tc>
          <w:tcPr>
            <w:tcW w:w="3565" w:type="dxa"/>
            <w:tcBorders/>
          </w:tcPr>
          <w:p>
            <w:pPr>
              <w:pStyle w:val="Normal"/>
              <w:spacing w:before="0" w:after="0"/>
              <w:rPr/>
            </w:pPr>
            <w:r>
              <w:rPr/>
              <w:t>Буланый С.Е.</w:t>
            </w:r>
          </w:p>
        </w:tc>
      </w:tr>
      <w:tr>
        <w:trPr/>
        <w:tc>
          <w:tcPr>
            <w:tcW w:w="1701" w:type="dxa"/>
            <w:tcBorders/>
          </w:tcPr>
          <w:p>
            <w:pPr>
              <w:pStyle w:val="Normal"/>
              <w:spacing w:before="0" w:after="0"/>
              <w:rPr/>
            </w:pPr>
            <w:r>
              <w:rPr/>
              <w:t>Группа</w:t>
            </w:r>
          </w:p>
        </w:tc>
        <w:tc>
          <w:tcPr>
            <w:tcW w:w="3565" w:type="dxa"/>
            <w:tcBorders/>
          </w:tcPr>
          <w:p>
            <w:pPr>
              <w:pStyle w:val="Normal"/>
              <w:spacing w:before="0" w:after="0"/>
              <w:rPr/>
            </w:pPr>
            <w:r>
              <w:rPr/>
              <w:t>ТКИ-341</w:t>
            </w:r>
          </w:p>
        </w:tc>
      </w:tr>
      <w:tr>
        <w:trPr/>
        <w:tc>
          <w:tcPr>
            <w:tcW w:w="1701" w:type="dxa"/>
            <w:tcBorders/>
          </w:tcPr>
          <w:p>
            <w:pPr>
              <w:pStyle w:val="Normal"/>
              <w:spacing w:before="0" w:after="0"/>
              <w:rPr/>
            </w:pPr>
            <w:r>
              <w:rPr/>
              <w:t>Проверил</w:t>
            </w:r>
          </w:p>
        </w:tc>
        <w:tc>
          <w:tcPr>
            <w:tcW w:w="3565" w:type="dxa"/>
            <w:tcBorders/>
          </w:tcPr>
          <w:p>
            <w:pPr>
              <w:pStyle w:val="Normal"/>
              <w:spacing w:before="0" w:after="0"/>
              <w:rPr/>
            </w:pPr>
            <w:r>
              <w:rPr/>
              <w:t>доц., к.т.н. Логинова Л.Н./асс. Домашкин А.Д.</w:t>
            </w:r>
          </w:p>
        </w:tc>
      </w:tr>
    </w:tbl>
    <w:p>
      <w:pPr>
        <w:pStyle w:val="Normal"/>
        <w:jc w:val="center"/>
        <w:rPr>
          <w:smallCaps/>
        </w:rPr>
      </w:pPr>
      <w:r>
        <w:rPr>
          <w:smallCaps/>
        </w:rPr>
      </w:r>
    </w:p>
    <w:p>
      <w:pPr>
        <w:pStyle w:val="Normal"/>
        <w:jc w:val="center"/>
        <w:rPr>
          <w:smallCaps/>
        </w:rPr>
      </w:pPr>
      <w:r>
        <w:rPr>
          <w:smallCaps/>
        </w:rPr>
      </w:r>
    </w:p>
    <w:p>
      <w:pPr>
        <w:pStyle w:val="Normal"/>
        <w:jc w:val="center"/>
        <w:rPr>
          <w:smallCaps/>
        </w:rPr>
      </w:pPr>
      <w:r>
        <w:rPr>
          <w:smallCaps/>
        </w:rPr>
        <w:t>МОСКВА – 2025</w:t>
      </w:r>
    </w:p>
    <w:p>
      <w:pPr>
        <w:pStyle w:val="ListParagraph"/>
        <w:numPr>
          <w:ilvl w:val="0"/>
          <w:numId w:val="0"/>
        </w:numPr>
        <w:spacing w:before="0" w:after="0"/>
        <w:ind w:hanging="0" w:left="720"/>
        <w:contextualSpacing/>
        <w:jc w:val="left"/>
        <w:rPr/>
      </w:pPr>
      <w:r>
        <w:rPr/>
        <w:t xml:space="preserve">Цель лабораторной работы </w:t>
      </w:r>
    </w:p>
    <w:p>
      <w:pPr>
        <w:pStyle w:val="Normal"/>
        <w:spacing w:before="0" w:after="0"/>
        <w:ind w:firstLine="708"/>
        <w:rPr/>
      </w:pPr>
      <w:r>
        <w:rPr/>
        <w:t>Изучение команд передачи управления и получение навыка работы с ними.</w:t>
      </w:r>
    </w:p>
    <w:p>
      <w:pPr>
        <w:pStyle w:val="Normal"/>
        <w:spacing w:before="0" w:after="0"/>
        <w:ind w:firstLine="708"/>
        <w:rPr/>
      </w:pPr>
      <w:r>
        <w:rPr/>
        <w:t>Задание на лабораторную работу</w:t>
      </w:r>
    </w:p>
    <w:p>
      <w:pPr>
        <w:pStyle w:val="Normal"/>
        <w:numPr>
          <w:ilvl w:val="2"/>
          <w:numId w:val="2"/>
        </w:numPr>
        <w:spacing w:before="0" w:after="0"/>
        <w:ind w:hanging="283" w:left="850"/>
        <w:rPr/>
      </w:pPr>
      <w:r>
        <w:rPr/>
        <w:t xml:space="preserve"> </w:t>
      </w:r>
      <w:r>
        <w:rPr/>
        <w:t xml:space="preserve">С помощью процедуры </w:t>
      </w:r>
      <w:r>
        <w:rPr>
          <w:i/>
        </w:rPr>
        <w:t>Random</w:t>
      </w:r>
      <w:r>
        <w:rPr/>
        <w:t xml:space="preserve"> сформировать случайное целое число в диапазоне от 0 до 65535;</w:t>
      </w:r>
    </w:p>
    <w:p>
      <w:pPr>
        <w:pStyle w:val="Normal"/>
        <w:numPr>
          <w:ilvl w:val="2"/>
          <w:numId w:val="2"/>
        </w:numPr>
        <w:spacing w:before="0" w:after="0"/>
        <w:ind w:hanging="283" w:left="850"/>
        <w:rPr/>
      </w:pPr>
      <w:r>
        <w:rPr/>
        <w:t xml:space="preserve"> </w:t>
      </w:r>
      <w:r>
        <w:rPr/>
        <w:t xml:space="preserve">Четное число (четное с точки зрения математики) записать в ЯП (ячейку памяти), начиная с нулевого элемента массива </w:t>
      </w:r>
      <w:r>
        <w:rPr>
          <w:i/>
        </w:rPr>
        <w:t>data</w:t>
      </w:r>
      <w:r>
        <w:rPr/>
        <w:t xml:space="preserve">. Нечетное число (нечетное с точки зрения математики) записать в ЯП, начиная с 128 элемента массива </w:t>
      </w:r>
      <w:r>
        <w:rPr>
          <w:i/>
        </w:rPr>
        <w:t>data</w:t>
      </w:r>
      <w:r>
        <w:rPr/>
        <w:t xml:space="preserve">. Все числа, которые больше или равны 50000 записать в ЯП, начиная с 256 элемента массива </w:t>
      </w:r>
      <w:r>
        <w:rPr>
          <w:i/>
        </w:rPr>
        <w:t>data</w:t>
      </w:r>
      <w:r>
        <w:rPr/>
        <w:t xml:space="preserve">. Все числа, которые меньше 10000 записать в ЯП, начиная с 384 элемента массива </w:t>
      </w:r>
      <w:r>
        <w:rPr>
          <w:i/>
        </w:rPr>
        <w:t>data</w:t>
      </w:r>
      <w:r>
        <w:rPr/>
        <w:t>;</w:t>
      </w:r>
    </w:p>
    <w:p>
      <w:pPr>
        <w:pStyle w:val="Normal"/>
        <w:numPr>
          <w:ilvl w:val="2"/>
          <w:numId w:val="2"/>
        </w:numPr>
        <w:spacing w:before="0" w:after="0"/>
        <w:ind w:hanging="283" w:left="850"/>
        <w:rPr/>
      </w:pPr>
      <w:r>
        <w:rPr/>
        <w:t xml:space="preserve"> </w:t>
      </w:r>
      <w:r>
        <w:rPr/>
        <w:t>Повторять п.1-п.2, пока число распределенных данных по любому из признаков не превысит 127.</w:t>
      </w:r>
    </w:p>
    <w:p>
      <w:pPr>
        <w:pStyle w:val="ListParagraph"/>
        <w:spacing w:before="0" w:after="0"/>
        <w:contextualSpacing/>
        <w:jc w:val="left"/>
        <w:rPr/>
      </w:pPr>
      <w:r>
        <w:rPr/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ListParagraph"/>
        <w:numPr>
          <w:ilvl w:val="0"/>
          <w:numId w:val="0"/>
        </w:numPr>
        <w:spacing w:before="0" w:after="0"/>
        <w:ind w:hanging="0" w:left="720"/>
        <w:contextualSpacing/>
        <w:jc w:val="left"/>
        <w:rPr/>
      </w:pPr>
      <w:r>
        <w:rPr/>
        <w:t xml:space="preserve">Текст программы на языке ассемблера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section .data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>
          <w:lang w:val="en-US"/>
        </w:rPr>
        <w:t>numbers</w:t>
      </w:r>
      <w:r>
        <w:rPr/>
        <w:t xml:space="preserve"> </w:t>
      </w:r>
      <w:r>
        <w:rPr>
          <w:lang w:val="en-US"/>
        </w:rPr>
        <w:t>times</w:t>
      </w:r>
      <w:r>
        <w:rPr/>
        <w:t xml:space="preserve"> 1024 </w:t>
      </w:r>
      <w:r>
        <w:rPr>
          <w:lang w:val="en-US"/>
        </w:rPr>
        <w:t>db</w:t>
      </w:r>
      <w:r>
        <w:rPr/>
        <w:t xml:space="preserve"> 0     ; Массив 1024 байта (512 чисел по 2 байта)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/>
        <w:t xml:space="preserve">    </w:t>
      </w:r>
      <w:r>
        <w:rPr>
          <w:lang w:val="en-US"/>
        </w:rPr>
        <w:t>count_even db 0             ; Количество четных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count_odd db 0              ; Количество нечетных  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>
          <w:lang w:val="en-US"/>
        </w:rPr>
        <w:t>count</w:t>
      </w:r>
      <w:r>
        <w:rPr/>
        <w:t>_</w:t>
      </w:r>
      <w:r>
        <w:rPr>
          <w:lang w:val="en-US"/>
        </w:rPr>
        <w:t>big</w:t>
      </w:r>
      <w:r>
        <w:rPr/>
        <w:t xml:space="preserve"> </w:t>
      </w:r>
      <w:r>
        <w:rPr>
          <w:lang w:val="en-US"/>
        </w:rPr>
        <w:t>db</w:t>
      </w:r>
      <w:r>
        <w:rPr/>
        <w:t xml:space="preserve"> 0              ; Количество больших чисел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>
          <w:lang w:val="en-US"/>
        </w:rPr>
        <w:t>count</w:t>
      </w:r>
      <w:r>
        <w:rPr/>
        <w:t>_</w:t>
      </w:r>
      <w:r>
        <w:rPr>
          <w:lang w:val="en-US"/>
        </w:rPr>
        <w:t>small</w:t>
      </w:r>
      <w:r>
        <w:rPr/>
        <w:t xml:space="preserve"> </w:t>
      </w:r>
      <w:r>
        <w:rPr>
          <w:lang w:val="en-US"/>
        </w:rPr>
        <w:t>db</w:t>
      </w:r>
      <w:r>
        <w:rPr/>
        <w:t xml:space="preserve"> 0            ; Количество маленьких чисел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/>
        <w:t xml:space="preserve">    </w:t>
      </w:r>
      <w:r>
        <w:rPr>
          <w:lang w:val="en-US"/>
        </w:rPr>
        <w:t>newline db 10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space db " "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>
          <w:lang w:val="en-US"/>
        </w:rPr>
        <w:t>before</w:t>
      </w:r>
      <w:r>
        <w:rPr/>
        <w:t>_</w:t>
      </w:r>
      <w:r>
        <w:rPr>
          <w:lang w:val="en-US"/>
        </w:rPr>
        <w:t>msg</w:t>
      </w:r>
      <w:r>
        <w:rPr/>
        <w:t xml:space="preserve"> </w:t>
      </w:r>
      <w:r>
        <w:rPr>
          <w:lang w:val="en-US"/>
        </w:rPr>
        <w:t>db</w:t>
      </w:r>
      <w:r>
        <w:rPr/>
        <w:t xml:space="preserve"> "Массив ДО выполнения программы:",10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/>
        <w:t xml:space="preserve">    </w:t>
      </w:r>
      <w:r>
        <w:rPr>
          <w:lang w:val="en-US"/>
        </w:rPr>
        <w:t>before_len equ $ - before_msg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>
          <w:lang w:val="en-US"/>
        </w:rPr>
        <w:t>after</w:t>
      </w:r>
      <w:r>
        <w:rPr/>
        <w:t>_</w:t>
      </w:r>
      <w:r>
        <w:rPr>
          <w:lang w:val="en-US"/>
        </w:rPr>
        <w:t>msg</w:t>
      </w:r>
      <w:r>
        <w:rPr/>
        <w:t xml:space="preserve"> </w:t>
      </w:r>
      <w:r>
        <w:rPr>
          <w:lang w:val="en-US"/>
        </w:rPr>
        <w:t>db</w:t>
      </w:r>
      <w:r>
        <w:rPr/>
        <w:t xml:space="preserve"> "Массив ПОСЛЕ выполнения программы:",10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/>
        <w:t xml:space="preserve">    </w:t>
      </w:r>
      <w:r>
        <w:rPr>
          <w:lang w:val="en-US"/>
        </w:rPr>
        <w:t>after_len equ $ - after_msg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>
          <w:lang w:val="en-US"/>
        </w:rPr>
        <w:t>result</w:t>
      </w:r>
      <w:r>
        <w:rPr/>
        <w:t>_</w:t>
      </w:r>
      <w:r>
        <w:rPr>
          <w:lang w:val="en-US"/>
        </w:rPr>
        <w:t>msg</w:t>
      </w:r>
      <w:r>
        <w:rPr/>
        <w:t xml:space="preserve"> </w:t>
      </w:r>
      <w:r>
        <w:rPr>
          <w:lang w:val="en-US"/>
        </w:rPr>
        <w:t>db</w:t>
      </w:r>
      <w:r>
        <w:rPr/>
        <w:t xml:space="preserve"> "Результаты распределения:",10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/>
        <w:t xml:space="preserve">    </w:t>
      </w:r>
      <w:r>
        <w:rPr>
          <w:lang w:val="en-US"/>
        </w:rPr>
        <w:t>result_len equ $ - result_msg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>
          <w:lang w:val="en-US"/>
        </w:rPr>
        <w:t>even</w:t>
      </w:r>
      <w:r>
        <w:rPr/>
        <w:t>_</w:t>
      </w:r>
      <w:r>
        <w:rPr>
          <w:lang w:val="en-US"/>
        </w:rPr>
        <w:t>msg</w:t>
      </w:r>
      <w:r>
        <w:rPr/>
        <w:t xml:space="preserve"> </w:t>
      </w:r>
      <w:r>
        <w:rPr>
          <w:lang w:val="en-US"/>
        </w:rPr>
        <w:t>db</w:t>
      </w:r>
      <w:r>
        <w:rPr/>
        <w:t xml:space="preserve"> "Четные числа: "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/>
        <w:t xml:space="preserve">    </w:t>
      </w:r>
      <w:r>
        <w:rPr>
          <w:lang w:val="en-US"/>
        </w:rPr>
        <w:t>even_len equ $ - even_msg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>
          <w:lang w:val="en-US"/>
        </w:rPr>
        <w:t>odd</w:t>
      </w:r>
      <w:r>
        <w:rPr/>
        <w:t>_</w:t>
      </w:r>
      <w:r>
        <w:rPr>
          <w:lang w:val="en-US"/>
        </w:rPr>
        <w:t>msg</w:t>
      </w:r>
      <w:r>
        <w:rPr/>
        <w:t xml:space="preserve"> </w:t>
      </w:r>
      <w:r>
        <w:rPr>
          <w:lang w:val="en-US"/>
        </w:rPr>
        <w:t>db</w:t>
      </w:r>
      <w:r>
        <w:rPr/>
        <w:t xml:space="preserve"> "Нечетные числа: "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/>
        <w:t xml:space="preserve">    </w:t>
      </w:r>
      <w:r>
        <w:rPr>
          <w:lang w:val="en-US"/>
        </w:rPr>
        <w:t>odd_len equ $ - odd_msg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high_msg db "Числа &gt;= 50000: "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high_len equ $ - high_msg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low_msg db "Числа &lt; 10000: "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low_len equ $ - low_msg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separator db "-------------------",10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separator_len equ $ - separator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>
          <w:lang w:val="en-US"/>
        </w:rPr>
        <w:t>elements</w:t>
      </w:r>
      <w:r>
        <w:rPr/>
        <w:t>_</w:t>
      </w:r>
      <w:r>
        <w:rPr>
          <w:lang w:val="en-US"/>
        </w:rPr>
        <w:t>per</w:t>
      </w:r>
      <w:r>
        <w:rPr/>
        <w:t>_</w:t>
      </w:r>
      <w:r>
        <w:rPr>
          <w:lang w:val="en-US"/>
        </w:rPr>
        <w:t>line</w:t>
      </w:r>
      <w:r>
        <w:rPr/>
        <w:t xml:space="preserve"> </w:t>
      </w:r>
      <w:r>
        <w:rPr>
          <w:lang w:val="en-US"/>
        </w:rPr>
        <w:t>db</w:t>
      </w:r>
      <w:r>
        <w:rPr/>
        <w:t xml:space="preserve"> 16     ; Количество элементов в строке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section .bss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seed resd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num_buf resb 12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section .text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global _start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_start: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Выводим массив ДО выполнения программы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4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ebx,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before_msg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edx, before_len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print_array_full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print_newline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/>
        <w:t>; Инициализация генератора случайных чисел через системное время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/>
        <w:t xml:space="preserve">    </w:t>
      </w:r>
      <w:r>
        <w:rPr>
          <w:lang w:val="en-US"/>
        </w:rPr>
        <w:t>mov eax, 13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xor ebx, ebx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[seed], eax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generate_numbers: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Генерация псевдослучайного числа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[seed]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1103515245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mul ecx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add eax, 12345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[seed], eax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and eax, 0FFFFh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Сохраняем сгенерированное число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[seed], 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Восстанавливаем число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ax, [seed]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Проверяем условия и распределяем числа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test ax,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jnz not_even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Четное число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movzx ecx, byte [count_even]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[numbers + ecx*2], 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inc byte [count_even]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jmp check_high_low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not_even: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Нечетное число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movzx ecx, byte [count_odd]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[numbers + 256 + ecx*2], 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inc byte [count_odd]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check_high_low: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Проверка на число &gt;= 50000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cmp ax, 50000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jb check_low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Число &gt;= 50000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movzx ecx, byte [count_big]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[numbers + 512 + ecx*2], 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inc byte [count_big]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jmp check_continue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check_low: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Проверка на число &lt; 10000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cmp ax, 10000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jae check_continue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Число &lt; 10000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movzx ecx, byte [count_small]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[numbers + 768 + ecx*2], 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inc byte [count_small]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check_continue: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/>
        <w:t>; Проверяем, не превысил ли какой-либо счетчик 127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/>
        <w:t xml:space="preserve">    </w:t>
      </w:r>
      <w:r>
        <w:rPr>
          <w:lang w:val="en-US"/>
        </w:rPr>
        <w:t>cmp byte [count_even], 127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ja finish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cmp byte [count_odd], 127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ja finish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cmp byte [count_big], 127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ja finish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cmp byte [count_small], 127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ja finish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jmp generate_numbers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finish: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Вывод массива ПОСЛЕ выполнения программы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4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ebx,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after_msg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edx, after_len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print_array_with_separators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print_newline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Вывод результатов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4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ebx,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result_msg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edx, result_len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Вывод количества четных чисел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4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ebx,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even_msg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edx, even_len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movzx eax, byte [count_even]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print_number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print_newline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Вывод количества нечетных чисел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4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ebx,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odd_msg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edx, odd_len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movzx eax, byte [count_odd]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print_number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print_newline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Вывод количества чисел &gt;= 50000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4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ebx,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high_msg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edx, high_len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movzx eax, byte [count_big]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print_number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print_newline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Вывод количества чисел &lt; 10000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4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ebx,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low_msg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edx, low_len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movzx eax, byte [count_small]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print_number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print_newline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Завершение программы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xor ebx, ebx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; ===========================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>; Печать всего массива с разделителями между категориями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print_array_with_separators: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Вывод четных чисел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4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ebx,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even_msg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edx, even_len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print_newline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>
          <w:lang w:val="en-US"/>
        </w:rPr>
        <w:t>mov</w:t>
      </w:r>
      <w:r>
        <w:rPr/>
        <w:t xml:space="preserve"> </w:t>
      </w:r>
      <w:r>
        <w:rPr>
          <w:lang w:val="en-US"/>
        </w:rPr>
        <w:t>esi</w:t>
      </w:r>
      <w:r>
        <w:rPr/>
        <w:t xml:space="preserve">, </w:t>
      </w:r>
      <w:r>
        <w:rPr>
          <w:lang w:val="en-US"/>
        </w:rPr>
        <w:t>numbers</w:t>
      </w:r>
      <w:r>
        <w:rPr/>
        <w:t xml:space="preserve">       ; Начало раздела четных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/>
        <w:t xml:space="preserve">    </w:t>
      </w:r>
      <w:r>
        <w:rPr>
          <w:lang w:val="en-US"/>
        </w:rPr>
        <w:t>movzx ecx, byte [count_even]  ; Кол-во элементов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print_section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print_separator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Вывод нечетных чисел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4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ebx,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odd_msg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edx, odd_len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print_newline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esi, numbers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add esi, 256           ; смещение для нечетных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movzx ecx, byte [count_odd]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print_section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print_separator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Вывод чисел &gt;= 50000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4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ebx,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high_msg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edx, high_len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print_newline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esi, numbers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add esi, 512           ; смещение для &gt;= 50000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movzx ecx, byte [count_big]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print_section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print_separator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Вывод чисел &lt; 10000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4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ebx,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low_msg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edx, low_len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print_newline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esi, numbers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>
          <w:lang w:val="en-US"/>
        </w:rPr>
        <w:t>add</w:t>
      </w:r>
      <w:r>
        <w:rPr/>
        <w:t xml:space="preserve"> </w:t>
      </w:r>
      <w:r>
        <w:rPr>
          <w:lang w:val="en-US"/>
        </w:rPr>
        <w:t>esi</w:t>
      </w:r>
      <w:r>
        <w:rPr/>
        <w:t>, 768           ; смещение для чисел &lt; 10000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/>
        <w:t xml:space="preserve">    </w:t>
      </w:r>
      <w:r>
        <w:rPr>
          <w:lang w:val="en-US"/>
        </w:rPr>
        <w:t>movzx ecx, byte [count_small]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print_section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; Печать секции массива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print_section: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test ecx, ecx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jz .end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>
          <w:lang w:val="en-US"/>
        </w:rPr>
        <w:t>xor</w:t>
      </w:r>
      <w:r>
        <w:rPr/>
        <w:t xml:space="preserve"> </w:t>
      </w:r>
      <w:r>
        <w:rPr>
          <w:lang w:val="en-US"/>
        </w:rPr>
        <w:t>ebx</w:t>
      </w:r>
      <w:r>
        <w:rPr/>
        <w:t xml:space="preserve">, </w:t>
      </w:r>
      <w:r>
        <w:rPr>
          <w:lang w:val="en-US"/>
        </w:rPr>
        <w:t>ebx</w:t>
      </w:r>
      <w:r>
        <w:rPr/>
        <w:t xml:space="preserve">           ; счетчик элементов в строке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.print_loop: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Печатаем число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ax, [esi]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print_number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Печатаем пробел после числа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print_space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Переходим к следующему элементу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add esi, 2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inc ebx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/>
        <w:t>; Проверяем, нужно ли переходить на новую строку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/>
        <w:t xml:space="preserve">    </w:t>
      </w:r>
      <w:r>
        <w:rPr>
          <w:lang w:val="en-US"/>
        </w:rPr>
        <w:t>cmp ebx, [elements_per_line]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jl .same_line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; Переход на новую строку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print_newline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xor ebx, ebx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.same_line: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loop .print_loop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/>
        <w:t>; Если последняя строка была неполной, добавляем перевод строки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/>
        <w:t xml:space="preserve">    </w:t>
      </w:r>
      <w:r>
        <w:rPr>
          <w:lang w:val="en-US"/>
        </w:rPr>
        <w:t>cmp ebx, 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je .end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print_newline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.end: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; Печать разделителя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print_separator: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ebx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ecx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edx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4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ebx,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separator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edx, separator_len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edx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ecx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ebx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; ===========================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>; Печать всего массива (для начального вывода)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print_array_full: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esi, numbers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512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xor ebx, ebx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.print_loop: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ax, [esi]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print_number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print_space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add esi, 2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inc ebx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cmp ebx, [elements_per_line]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jl .same_line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print_newline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xor ebx, 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.same_line: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loop .print_loop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cmp ebx, 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je .done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call print_newline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.done: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; Функция для вывода числа в </w:t>
      </w:r>
      <w:r>
        <w:rPr>
          <w:lang w:val="en-US"/>
        </w:rPr>
        <w:t>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print_number: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ebx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ecx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edx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edi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edi, num_buf + 11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byte [edi], 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10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movzx eax, 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.convert_loop: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dec edi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xor edx, edx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div ecx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add dl, '0'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[edi], dl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test eax, eax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jnz .convert_loop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4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ebx,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edi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edx, num_buf + 12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sub edx, ecx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edi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edx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ecx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ebx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; Функция для вывода пробела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print_space: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ebx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ecx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edx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4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ebx,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space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edx,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edx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ecx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ebx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; Функция для вывода новой строки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>print_newline: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eax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ebx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ecx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push edx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eax, 4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ebx,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ecx, newline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mov edx, 1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0x80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edx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ecx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ebx</w:t>
      </w:r>
    </w:p>
    <w:p>
      <w:pPr>
        <w:pStyle w:val="ListParagraph"/>
        <w:numPr>
          <w:ilvl w:val="0"/>
          <w:numId w:val="1"/>
        </w:numPr>
        <w:jc w:val="left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pop eax</w:t>
      </w:r>
    </w:p>
    <w:p>
      <w:pPr>
        <w:pStyle w:val="ListParagraph"/>
        <w:numPr>
          <w:ilvl w:val="0"/>
          <w:numId w:val="1"/>
        </w:numPr>
        <w:jc w:val="left"/>
        <w:rPr/>
      </w:pPr>
      <w:r>
        <w:rPr/>
        <w:t xml:space="preserve">    </w:t>
      </w:r>
      <w:r>
        <w:rPr>
          <w:lang w:val="en-US"/>
        </w:rPr>
        <w:t>ret</w:t>
      </w:r>
    </w:p>
    <w:p>
      <w:pPr>
        <w:pStyle w:val="ListParagraph"/>
        <w:numPr>
          <w:ilvl w:val="0"/>
          <w:numId w:val="0"/>
        </w:numPr>
        <w:ind w:hanging="0" w:left="720"/>
        <w:jc w:val="left"/>
        <w:rPr>
          <w:lang w:val="en-US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720"/>
        <w:jc w:val="left"/>
        <w:rPr/>
      </w:pPr>
      <w:r>
        <w:rPr/>
        <w:t xml:space="preserve">Распечатки результатов выполнения лабораторной работы, включая: </w:t>
      </w:r>
    </w:p>
    <w:p>
      <w:pPr>
        <w:pStyle w:val="ListParagraph"/>
        <w:keepNext w:val="true"/>
        <w:spacing w:lineRule="auto" w:line="240" w:before="0" w:after="0"/>
        <w:ind w:left="284"/>
        <w:contextualSpacing/>
        <w:jc w:val="center"/>
        <w:rPr/>
      </w:pPr>
      <w:r>
        <w:rPr/>
        <w:drawing>
          <wp:inline distT="0" distB="0" distL="0" distR="0">
            <wp:extent cx="4650105" cy="999490"/>
            <wp:effectExtent l="0" t="0" r="0" b="0"/>
            <wp:docPr id="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1117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10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240" w:before="0" w:after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Рисунок </w:t>
      </w:r>
      <w:r>
        <w:rPr>
          <w:color w:val="auto"/>
          <w:sz w:val="28"/>
          <w:szCs w:val="28"/>
        </w:rPr>
        <w:fldChar w:fldCharType="begin"/>
      </w:r>
      <w:r>
        <w:rPr>
          <w:sz w:val="28"/>
          <w:szCs w:val="28"/>
          <w:color w:val="auto"/>
        </w:rPr>
        <w:instrText xml:space="preserve"> SEQ Рисунок \* ARABIC </w:instrText>
      </w:r>
      <w:r>
        <w:rPr>
          <w:sz w:val="28"/>
          <w:szCs w:val="28"/>
          <w:color w:val="auto"/>
        </w:rPr>
        <w:fldChar w:fldCharType="separate"/>
      </w:r>
      <w:r>
        <w:rPr>
          <w:sz w:val="28"/>
          <w:szCs w:val="28"/>
          <w:color w:val="auto"/>
        </w:rPr>
        <w:t>1</w:t>
      </w:r>
      <w:r>
        <w:rPr>
          <w:sz w:val="28"/>
          <w:szCs w:val="28"/>
          <w:color w:val="auto"/>
        </w:rPr>
        <w:fldChar w:fldCharType="end"/>
      </w:r>
      <w:r>
        <w:rPr>
          <w:color w:val="auto"/>
          <w:sz w:val="28"/>
          <w:szCs w:val="28"/>
        </w:rPr>
        <w:t>- процессе ассемблирования, линковки,</w:t>
      </w:r>
    </w:p>
    <w:p>
      <w:pPr>
        <w:pStyle w:val="Caption"/>
        <w:spacing w:lineRule="auto" w:line="240" w:before="0" w:after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запуска, результатов выполнения программы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1599565" cy="3706495"/>
            <wp:effectExtent l="0" t="0" r="0" b="0"/>
            <wp:docPr id="2" name="Изображение2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56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Рисунок 2 -Массив до выполнения программы</w:t>
      </w:r>
    </w:p>
    <w:p>
      <w:pPr>
        <w:pStyle w:val="Normal"/>
        <w:jc w:val="center"/>
        <w:rPr>
          <w:b/>
          <w:bCs/>
        </w:rPr>
      </w:pPr>
      <w:r>
        <w:rPr/>
        <w:drawing>
          <wp:inline distT="0" distB="0" distL="0" distR="0">
            <wp:extent cx="5940425" cy="1092200"/>
            <wp:effectExtent l="0" t="0" r="0" b="0"/>
            <wp:docPr id="3" name="Изображение3" descr="Изображение выглядит как текст, снимок экрана, Шрифт, информац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Изображение выглядит как текст, снимок экрана, Шрифт, информац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Рисунок 3 -Массив после выполнения программы результат распределения чётных числе </w:t>
      </w:r>
    </w:p>
    <w:p>
      <w:pPr>
        <w:pStyle w:val="Caption"/>
        <w:jc w:val="center"/>
        <w:rPr>
          <w:color w:val="auto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824990"/>
            <wp:effectExtent l="0" t="0" r="0" b="0"/>
            <wp:wrapSquare wrapText="largest"/>
            <wp:docPr id="4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  <w:sz w:val="28"/>
          <w:szCs w:val="28"/>
        </w:rPr>
        <w:t xml:space="preserve">Рисунок 4 -Массив после выполнения программы результат распределения не чётных числе </w:t>
      </w:r>
    </w:p>
    <w:p>
      <w:pPr>
        <w:pStyle w:val="Caption"/>
        <w:jc w:val="center"/>
        <w:rPr>
          <w:color w:val="auto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9029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  <w:sz w:val="28"/>
          <w:szCs w:val="28"/>
        </w:rPr>
        <w:t>Рисунок 5 -Массив после выполнения программы результат распределения чисел&gt;=50000</w:t>
      </w:r>
    </w:p>
    <w:p>
      <w:pPr>
        <w:pStyle w:val="Caption"/>
        <w:jc w:val="center"/>
        <w:rPr>
          <w:color w:val="auto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15875</wp:posOffset>
            </wp:positionH>
            <wp:positionV relativeFrom="paragraph">
              <wp:posOffset>-2540</wp:posOffset>
            </wp:positionV>
            <wp:extent cx="5940425" cy="83566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  <w:sz w:val="28"/>
          <w:szCs w:val="28"/>
        </w:rPr>
        <w:t>Рисунок 6 -Массив после выполнения программы результат распределения чисел &lt;10000</w:t>
      </w:r>
    </w:p>
    <w:p>
      <w:pPr>
        <w:pStyle w:val="Normal"/>
        <w:spacing w:before="0" w:after="0"/>
        <w:jc w:val="center"/>
        <w:rPr>
          <w:b/>
          <w:bCs/>
        </w:rPr>
      </w:pPr>
      <w:r>
        <w:rPr/>
        <w:drawing>
          <wp:inline distT="0" distB="0" distL="0" distR="0">
            <wp:extent cx="2819400" cy="1314450"/>
            <wp:effectExtent l="0" t="0" r="0" b="0"/>
            <wp:docPr id="7" name="Изображение4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Рисунок 7 -Результат распределения</w:t>
      </w:r>
    </w:p>
    <w:p>
      <w:pPr>
        <w:pStyle w:val="Normal"/>
        <w:jc w:val="left"/>
        <w:rPr/>
      </w:pPr>
      <w:r>
        <w:rPr/>
        <w:t>Вывод по работе: в ходе лабораторной работы были освоены команды условной и безусловной передачи управления, а также получены практические навыки их применения в языке ассемблера.</w:t>
      </w:r>
    </w:p>
    <w:p>
      <w:pPr>
        <w:pStyle w:val="Normal"/>
        <w:jc w:val="left"/>
        <w:rPr/>
      </w:pPr>
      <w:r>
        <w:rPr/>
        <w:t>Реализованный алгоритм включал следующие этапы:</w:t>
      </w:r>
    </w:p>
    <w:p>
      <w:pPr>
        <w:pStyle w:val="Normal"/>
        <w:jc w:val="left"/>
        <w:rPr/>
      </w:pPr>
      <w:r>
        <w:rPr/>
        <w:t>С использованием процедуры генерации псевдослучайных чисел были сформированы целочисленные значения в диапазоне от 0 до 65535</w:t>
      </w:r>
    </w:p>
    <w:p>
      <w:pPr>
        <w:pStyle w:val="Normal"/>
        <w:jc w:val="left"/>
        <w:rPr/>
      </w:pPr>
      <w:r>
        <w:rPr/>
        <w:t>Организовано распределение чисел согласно заданным критериям:</w:t>
      </w:r>
    </w:p>
    <w:p>
      <w:pPr>
        <w:pStyle w:val="Normal"/>
        <w:jc w:val="left"/>
        <w:rPr/>
      </w:pPr>
      <w:r>
        <w:rPr/>
        <w:t>Числа, являющиеся четными в математическом понимании, размещаются в начале массива data (с нулевого элемента)</w:t>
      </w:r>
    </w:p>
    <w:p>
      <w:pPr>
        <w:pStyle w:val="Normal"/>
        <w:jc w:val="left"/>
        <w:rPr/>
      </w:pPr>
      <w:r>
        <w:rPr/>
        <w:t>Числа нечетные сохраняются, начиная с 128-го элемента массива</w:t>
      </w:r>
    </w:p>
    <w:p>
      <w:pPr>
        <w:pStyle w:val="Normal"/>
        <w:jc w:val="left"/>
        <w:rPr/>
      </w:pPr>
      <w:r>
        <w:rPr/>
        <w:t>Значения ≥50000 записываются с 256-го элемента массива</w:t>
      </w:r>
    </w:p>
    <w:p>
      <w:pPr>
        <w:pStyle w:val="Normal"/>
        <w:jc w:val="left"/>
        <w:rPr/>
      </w:pPr>
      <w:r>
        <w:rPr/>
        <w:t>Значения &lt;10000 размещаются с 384-го элемента массива</w:t>
      </w:r>
    </w:p>
    <w:p>
      <w:pPr>
        <w:pStyle w:val="Normal"/>
        <w:jc w:val="left"/>
        <w:rPr/>
      </w:pPr>
      <w:r>
        <w:rPr/>
        <w:t>Реализован циклический алгоритм, который последовательно выполняет:</w:t>
      </w:r>
    </w:p>
    <w:p>
      <w:pPr>
        <w:pStyle w:val="Normal"/>
        <w:jc w:val="left"/>
        <w:rPr/>
      </w:pPr>
      <w:r>
        <w:rPr/>
        <w:t>Генерацию нового случайного числа</w:t>
      </w:r>
    </w:p>
    <w:p>
      <w:pPr>
        <w:pStyle w:val="Normal"/>
        <w:jc w:val="left"/>
        <w:rPr/>
      </w:pPr>
      <w:r>
        <w:rPr/>
        <w:t>Проверку его на соответствие критериям четности и величине</w:t>
      </w:r>
    </w:p>
    <w:p>
      <w:pPr>
        <w:pStyle w:val="Normal"/>
        <w:jc w:val="left"/>
        <w:rPr/>
      </w:pPr>
      <w:r>
        <w:rPr/>
        <w:t>Распределение по соответствующим секциям массива</w:t>
      </w:r>
    </w:p>
    <w:p>
      <w:pPr>
        <w:pStyle w:val="Normal"/>
        <w:jc w:val="left"/>
        <w:rPr/>
      </w:pPr>
      <w:r>
        <w:rPr/>
        <w:t>Контроль заполнения каждой категории данных</w:t>
      </w:r>
    </w:p>
    <w:p>
      <w:pPr>
        <w:pStyle w:val="Normal"/>
        <w:spacing w:before="0" w:after="200"/>
        <w:jc w:val="left"/>
        <w:rPr/>
      </w:pPr>
      <w:r>
        <w:rPr/>
        <w:t>Цикл завершает работу при достижении лимита в 127 элементов в любой из четырех категорий распределения, что обеспечивает корректное заполнение выделенных областей памяти без переполнения.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283" w:hanging="283"/>
      </w:pPr>
      <w:rPr>
        <w:rFonts w:cs="Times New Roman"/>
      </w:r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566" w:hanging="283"/>
      </w:pPr>
      <w:rPr>
        <w:rFonts w:cs="Times New Roman"/>
      </w:rPr>
    </w:lvl>
    <w:lvl w:ilvl="2">
      <w:start w:val="1"/>
      <w:numFmt w:val="decimal"/>
      <w:suff w:val="nothing"/>
      <w:lvlText w:val="%3."/>
      <w:lvlJc w:val="left"/>
      <w:pPr>
        <w:tabs>
          <w:tab w:val="num" w:pos="0"/>
        </w:tabs>
        <w:ind w:left="849" w:hanging="283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tabs>
          <w:tab w:val="num" w:pos="0"/>
        </w:tabs>
        <w:ind w:left="1132" w:hanging="283"/>
      </w:pPr>
      <w:rPr>
        <w:rFonts w:cs="Times New Roman"/>
      </w:rPr>
    </w:lvl>
    <w:lvl w:ilvl="4">
      <w:start w:val="1"/>
      <w:numFmt w:val="decimal"/>
      <w:suff w:val="nothing"/>
      <w:lvlText w:val="%5."/>
      <w:lvlJc w:val="left"/>
      <w:pPr>
        <w:tabs>
          <w:tab w:val="num" w:pos="0"/>
        </w:tabs>
        <w:ind w:left="1415" w:hanging="283"/>
      </w:pPr>
      <w:rPr>
        <w:rFonts w:cs="Times New Roman"/>
      </w:rPr>
    </w:lvl>
    <w:lvl w:ilvl="5">
      <w:start w:val="1"/>
      <w:numFmt w:val="decimal"/>
      <w:suff w:val="nothing"/>
      <w:lvlText w:val="%6."/>
      <w:lvlJc w:val="left"/>
      <w:pPr>
        <w:tabs>
          <w:tab w:val="num" w:pos="0"/>
        </w:tabs>
        <w:ind w:left="1698" w:hanging="283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tabs>
          <w:tab w:val="num" w:pos="0"/>
        </w:tabs>
        <w:ind w:left="1981" w:hanging="283"/>
      </w:pPr>
      <w:rPr>
        <w:rFonts w:cs="Times New Roman"/>
      </w:rPr>
    </w:lvl>
    <w:lvl w:ilvl="7">
      <w:start w:val="1"/>
      <w:numFmt w:val="decimal"/>
      <w:suff w:val="nothing"/>
      <w:lvlText w:val="%8."/>
      <w:lvlJc w:val="left"/>
      <w:pPr>
        <w:tabs>
          <w:tab w:val="num" w:pos="0"/>
        </w:tabs>
        <w:ind w:left="2264" w:hanging="283"/>
      </w:pPr>
      <w:rPr>
        <w:rFonts w:cs="Times New Roman"/>
      </w:rPr>
    </w:lvl>
    <w:lvl w:ilvl="8">
      <w:start w:val="1"/>
      <w:numFmt w:val="decimal"/>
      <w:suff w:val="nothing"/>
      <w:lvlText w:val="%9."/>
      <w:lvlJc w:val="left"/>
      <w:pPr>
        <w:tabs>
          <w:tab w:val="num" w:pos="0"/>
        </w:tabs>
        <w:ind w:left="2547" w:hanging="283"/>
      </w:pPr>
      <w:rPr>
        <w:rFonts w:cs="Times New Roman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20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link w:val="3"/>
    <w:uiPriority w:val="9"/>
    <w:qFormat/>
    <w:pPr>
      <w:spacing w:lineRule="auto" w:line="240" w:beforeAutospacing="1" w:afterAutospacing="1"/>
      <w:jc w:val="left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4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5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>
    <w:name w:val="Символ сноски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7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8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link w:val="Quote"/>
    <w:uiPriority w:val="29"/>
    <w:qFormat/>
    <w:rPr>
      <w:i/>
    </w:rPr>
  </w:style>
  <w:style w:type="character" w:styleId="Style9" w:customStyle="1">
    <w:name w:val="Выделенная цитата Знак"/>
    <w:link w:val="IntenseQuote"/>
    <w:uiPriority w:val="30"/>
    <w:qFormat/>
    <w:rPr>
      <w:i/>
    </w:rPr>
  </w:style>
  <w:style w:type="character" w:styleId="Style10" w:customStyle="1">
    <w:name w:val="Верхний колонтитул Знак"/>
    <w:basedOn w:val="DefaultParagraphFont"/>
    <w:uiPriority w:val="99"/>
    <w:qFormat/>
    <w:rPr/>
  </w:style>
  <w:style w:type="character" w:styleId="Style11" w:customStyle="1">
    <w:name w:val="Нижний колонтитул Знак"/>
    <w:basedOn w:val="DefaultParagraphFont"/>
    <w:uiPriority w:val="99"/>
    <w:qFormat/>
    <w:rPr/>
  </w:style>
  <w:style w:type="character" w:styleId="Style12" w:customStyle="1">
    <w:name w:val="Название объекта Знак"/>
    <w:basedOn w:val="DefaultParagraphFont"/>
    <w:uiPriority w:val="35"/>
    <w:qFormat/>
    <w:rPr>
      <w:b/>
      <w:bCs/>
      <w:color w:themeColor="accent1" w:val="4F81BD"/>
      <w:sz w:val="18"/>
      <w:szCs w:val="18"/>
    </w:rPr>
  </w:style>
  <w:style w:type="character" w:styleId="Style13" w:customStyle="1">
    <w:name w:val="Текст сноски Знак"/>
    <w:uiPriority w:val="99"/>
    <w:qFormat/>
    <w:rPr>
      <w:sz w:val="18"/>
    </w:rPr>
  </w:style>
  <w:style w:type="character" w:styleId="Style14" w:customStyle="1">
    <w:name w:val="Текст концевой сноски Знак"/>
    <w:uiPriority w:val="99"/>
    <w:qFormat/>
    <w:rPr>
      <w:sz w:val="20"/>
    </w:rPr>
  </w:style>
  <w:style w:type="character" w:styleId="3" w:customStyle="1">
    <w:name w:val="Заголовок 3 Знак"/>
    <w:basedOn w:val="DefaultParagraphFont"/>
    <w:uiPriority w:val="9"/>
    <w:qFormat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7d4cda"/>
    <w:rPr>
      <w:rFonts w:ascii="Consolas" w:hAnsi="Consolas" w:eastAsia="Times New Roman" w:cs="Times New Roman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Style12"/>
    <w:uiPriority w:val="35"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EndnoteText">
    <w:name w:val="Endnote Text"/>
    <w:basedOn w:val="Normal"/>
    <w:link w:val="Style14"/>
    <w:uiPriority w:val="99"/>
    <w:semiHidden/>
    <w:unhideWhenUsed/>
    <w:qFormat/>
    <w:pPr>
      <w:spacing w:lineRule="auto" w:line="240" w:before="0" w:after="0"/>
    </w:pPr>
    <w:rPr>
      <w:sz w:val="20"/>
    </w:rPr>
  </w:style>
  <w:style w:type="paragraph" w:styleId="FootnoteText">
    <w:name w:val="Footnote Text"/>
    <w:basedOn w:val="Normal"/>
    <w:link w:val="Style13"/>
    <w:uiPriority w:val="99"/>
    <w:semiHidden/>
    <w:unhideWhenUsed/>
    <w:qFormat/>
    <w:pPr>
      <w:spacing w:lineRule="auto" w:line="240" w:before="0" w:after="40"/>
    </w:pPr>
    <w:rPr>
      <w:sz w:val="18"/>
    </w:rPr>
  </w:style>
  <w:style w:type="paragraph" w:styleId="TOC8">
    <w:name w:val="TOC 8"/>
    <w:basedOn w:val="Normal"/>
    <w:next w:val="Normal"/>
    <w:uiPriority w:val="39"/>
    <w:unhideWhenUsed/>
    <w:qFormat/>
    <w:pPr>
      <w:spacing w:before="0" w:after="57"/>
      <w:ind w:left="1984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qFormat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TOC9">
    <w:name w:val="TOC 9"/>
    <w:basedOn w:val="Normal"/>
    <w:next w:val="Normal"/>
    <w:uiPriority w:val="39"/>
    <w:unhideWhenUsed/>
    <w:qFormat/>
    <w:pPr>
      <w:spacing w:before="0" w:after="57"/>
      <w:ind w:left="2268"/>
    </w:pPr>
    <w:rPr/>
  </w:style>
  <w:style w:type="paragraph" w:styleId="TOC7">
    <w:name w:val="TOC 7"/>
    <w:basedOn w:val="Normal"/>
    <w:next w:val="Normal"/>
    <w:uiPriority w:val="39"/>
    <w:unhideWhenUsed/>
    <w:qFormat/>
    <w:pPr>
      <w:spacing w:before="0" w:after="57"/>
      <w:ind w:left="1701"/>
    </w:pPr>
    <w:rPr/>
  </w:style>
  <w:style w:type="paragraph" w:styleId="TOC1">
    <w:name w:val="TOC 1"/>
    <w:basedOn w:val="Normal"/>
    <w:next w:val="Normal"/>
    <w:uiPriority w:val="39"/>
    <w:unhideWhenUsed/>
    <w:qFormat/>
    <w:pPr>
      <w:spacing w:before="0" w:after="57"/>
    </w:pPr>
    <w:rPr/>
  </w:style>
  <w:style w:type="paragraph" w:styleId="TOC6">
    <w:name w:val="TOC 6"/>
    <w:basedOn w:val="Normal"/>
    <w:next w:val="Normal"/>
    <w:uiPriority w:val="39"/>
    <w:unhideWhenUsed/>
    <w:qFormat/>
    <w:pPr>
      <w:spacing w:before="0" w:after="57"/>
      <w:ind w:left="1417"/>
    </w:pPr>
    <w:rPr/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TOC3">
    <w:name w:val="TOC 3"/>
    <w:basedOn w:val="Normal"/>
    <w:next w:val="Normal"/>
    <w:uiPriority w:val="39"/>
    <w:unhideWhenUsed/>
    <w:qFormat/>
    <w:pPr>
      <w:spacing w:before="0" w:after="57"/>
      <w:ind w:left="567"/>
    </w:pPr>
    <w:rPr/>
  </w:style>
  <w:style w:type="paragraph" w:styleId="TOC2">
    <w:name w:val="TOC 2"/>
    <w:basedOn w:val="Normal"/>
    <w:next w:val="Normal"/>
    <w:uiPriority w:val="39"/>
    <w:unhideWhenUsed/>
    <w:qFormat/>
    <w:pPr>
      <w:spacing w:before="0" w:after="57"/>
      <w:ind w:left="283"/>
    </w:pPr>
    <w:rPr/>
  </w:style>
  <w:style w:type="paragraph" w:styleId="TOC4">
    <w:name w:val="TOC 4"/>
    <w:basedOn w:val="Normal"/>
    <w:next w:val="Normal"/>
    <w:uiPriority w:val="39"/>
    <w:unhideWhenUsed/>
    <w:qFormat/>
    <w:pPr>
      <w:spacing w:before="0" w:after="57"/>
      <w:ind w:left="850"/>
    </w:pPr>
    <w:rPr/>
  </w:style>
  <w:style w:type="paragraph" w:styleId="TOC5">
    <w:name w:val="TOC 5"/>
    <w:basedOn w:val="Normal"/>
    <w:next w:val="Normal"/>
    <w:uiPriority w:val="39"/>
    <w:unhideWhenUsed/>
    <w:qFormat/>
    <w:pPr>
      <w:spacing w:before="0" w:after="57"/>
      <w:ind w:left="1134"/>
    </w:pPr>
    <w:rPr/>
  </w:style>
  <w:style w:type="paragraph" w:styleId="Title">
    <w:name w:val="Title"/>
    <w:basedOn w:val="Normal"/>
    <w:next w:val="Normal"/>
    <w:link w:val="Style7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Footer">
    <w:name w:val="Footer"/>
    <w:basedOn w:val="Normal"/>
    <w:link w:val="Style11"/>
    <w:uiPriority w:val="99"/>
    <w:unhideWhenUsed/>
    <w:qFormat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link w:val="Style8"/>
    <w:uiPriority w:val="11"/>
    <w:qFormat/>
    <w:pPr>
      <w:spacing w:before="200" w:after="20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Quote">
    <w:name w:val="Quote"/>
    <w:basedOn w:val="Normal"/>
    <w:next w:val="Normal"/>
    <w:link w:val="21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Style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11" w:customStyle="1">
    <w:name w:val="Заголовок оглавления1"/>
    <w:uiPriority w:val="39"/>
    <w:unhideWhenUsed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ListParagraph1" w:customStyle="1">
    <w:name w:val="List Paragraph1"/>
    <w:basedOn w:val="Normal"/>
    <w:qFormat/>
    <w:pPr>
      <w:spacing w:lineRule="auto" w:line="240" w:beforeAutospacing="1" w:afterAutospacing="1"/>
      <w:contextualSpacing/>
      <w:jc w:val="left"/>
    </w:pPr>
    <w:rPr>
      <w:sz w:val="24"/>
      <w:szCs w:val="24"/>
    </w:rPr>
  </w:style>
  <w:style w:type="paragraph" w:styleId="ds-markdown-paragraph" w:customStyle="1">
    <w:name w:val="ds-markdown-paragraph"/>
    <w:basedOn w:val="Normal"/>
    <w:qFormat/>
    <w:pPr>
      <w:spacing w:lineRule="auto" w:line="240" w:beforeAutospacing="1" w:afterAutospacing="1"/>
      <w:jc w:val="left"/>
    </w:pPr>
    <w:rPr>
      <w:sz w:val="24"/>
      <w:szCs w:val="24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7d4cda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6">
    <w:name w:val="Table Grid"/>
    <w:basedOn w:val="a1"/>
    <w:uiPriority w:val="59"/>
    <w:qFormat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Light">
    <w:name w:val="Table Grid Light"/>
    <w:basedOn w:val="a1"/>
    <w:uiPriority w:val="59"/>
    <w:qFormat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0">
    <w:name w:val="Таблица простая 31"/>
    <w:basedOn w:val="a1"/>
    <w:uiPriority w:val="99"/>
    <w:qFormat/>
    <w:tblStylePr w:type="firstRow">
      <w:rPr>
        <w:b/>
        <w:caps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0">
    <w:name w:val="Таблица простая 41"/>
    <w:basedOn w:val="a1"/>
    <w:uiPriority w:val="99"/>
    <w:qFormat/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0">
    <w:name w:val="Таблица простая 51"/>
    <w:basedOn w:val="a1"/>
    <w:uiPriority w:val="99"/>
    <w:qFormat/>
    <w:tblStylePr w:type="firstRow">
      <w:rPr>
        <w:i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6A6A6A" w:themeColor="text1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5D8AC2" w:themeColor="accent1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D8AC2" w:themeColor="accen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D99695" w:themeColor="accent2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D99695" w:themeColor="accent2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9ABB59" w:themeColor="accent3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9ABB59" w:themeColor="accent3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B2A1C6" w:themeColor="accent4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B2A1C6" w:themeColor="accent4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qFormat/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qFormat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qFormat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sz w:val="22"/>
      </w:rPr>
      <w:tblPr/>
      <w:tcPr>
        <w:shd w:val="clear" w:color="4F81BD" w:fill="4F81BD" w:themeFill="accent1"/>
      </w:tcPr>
    </w:tblStylePr>
    <w:tblStylePr w:type="lastCol">
      <w:rPr>
        <w:b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sz w:val="22"/>
      </w:rPr>
      <w:tblPr/>
      <w:tcPr>
        <w:shd w:val="clear" w:color="C0504D" w:fill="C0504D" w:themeFill="accent2"/>
      </w:tcPr>
    </w:tblStylePr>
    <w:tblStylePr w:type="lastCol">
      <w:rPr>
        <w:b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sz w:val="22"/>
      </w:rPr>
      <w:tblPr/>
      <w:tcPr>
        <w:shd w:val="clear" w:color="9BBB59" w:fill="9BBB59" w:themeFill="accent3"/>
      </w:tcPr>
    </w:tblStylePr>
    <w:tblStylePr w:type="lastCol">
      <w:rPr>
        <w:b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sz w:val="22"/>
      </w:rPr>
      <w:tblPr/>
      <w:tcPr>
        <w:shd w:val="clear" w:color="8064A2" w:fill="8064A2" w:themeFill="accent4"/>
      </w:tcPr>
    </w:tblStylePr>
    <w:tblStylePr w:type="lastCol">
      <w:rPr>
        <w:b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sz w:val="22"/>
      </w:rPr>
      <w:tblPr/>
      <w:tcPr>
        <w:shd w:val="clear" w:color="4BACC6" w:fill="4BACC6" w:themeFill="accent5"/>
      </w:tcPr>
    </w:tblStylePr>
    <w:tblStylePr w:type="lastCol">
      <w:rPr>
        <w:b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sz w:val="22"/>
      </w:rPr>
      <w:tblPr/>
      <w:tcPr>
        <w:shd w:val="clear" w:color="F79646" w:fill="F79646" w:themeFill="accent6"/>
      </w:tcPr>
    </w:tblStylePr>
    <w:tblStylePr w:type="lastCol">
      <w:rPr>
        <w:b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qFormat/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themeColor="text1" w:themeTint="80"/>
      </w:rPr>
      <w:tblPr/>
    </w:tblStylePr>
    <w:tblStylePr w:type="firstCol">
      <w:rPr>
        <w:b/>
        <w:color w:themeColor="text1" w:themeTint="80"/>
      </w:rPr>
      <w:tblPr/>
    </w:tblStylePr>
    <w:tblStylePr w:type="lastCol">
      <w:rPr>
        <w:b/>
        <w:color w:themeColor="text1" w:themeTint="80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qFormat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themeColor="accent1" w:themeTint="80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themeColor="accent1" w:themeTint="80"/>
      </w:rPr>
      <w:tblPr/>
    </w:tblStylePr>
    <w:tblStylePr w:type="firstCol">
      <w:rPr>
        <w:b/>
        <w:color w:themeColor="accent1" w:themeTint="80"/>
      </w:rPr>
      <w:tblPr/>
    </w:tblStylePr>
    <w:tblStylePr w:type="lastCol">
      <w:rPr>
        <w:b/>
        <w:color w:themeColor="accent1" w:themeTint="80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themeColor="accent1" w:themeTint="80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themeColor="accent1" w:themeTint="80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qFormat/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themeColor="accent2" w:themeTint="96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themeColor="accent2" w:themeTint="96"/>
      </w:rPr>
      <w:tblPr/>
    </w:tblStylePr>
    <w:tblStylePr w:type="firstCol">
      <w:rPr>
        <w:b/>
        <w:color w:themeColor="accent2" w:themeTint="96"/>
      </w:rPr>
      <w:tblPr/>
    </w:tblStylePr>
    <w:tblStylePr w:type="lastCol">
      <w:rPr>
        <w:b/>
        <w:color w:themeColor="accent2" w:themeTint="96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themeColor="accent2" w:themeTint="96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themeColor="accent2" w:themeTint="96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qFormat/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themeColor="accent3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themeColor="accent3"/>
      </w:rPr>
      <w:tblPr/>
    </w:tblStylePr>
    <w:tblStylePr w:type="firstCol">
      <w:rPr>
        <w:b/>
        <w:color w:themeColor="accent3"/>
      </w:rPr>
      <w:tblPr/>
    </w:tblStylePr>
    <w:tblStylePr w:type="lastCol">
      <w:rPr>
        <w:b/>
        <w:color w:themeColor="accent3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themeColor="accent3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themeColor="accent3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qFormat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themeColor="accent4" w:themeTint="99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themeColor="accent4" w:themeTint="99"/>
      </w:rPr>
      <w:tblPr/>
    </w:tblStylePr>
    <w:tblStylePr w:type="firstCol">
      <w:rPr>
        <w:b/>
        <w:color w:themeColor="accent4" w:themeTint="99"/>
      </w:rPr>
      <w:tblPr/>
    </w:tblStylePr>
    <w:tblStylePr w:type="lastCol">
      <w:rPr>
        <w:b/>
        <w:color w:themeColor="accent4" w:themeTint="99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themeColor="accent4" w:themeTint="99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themeColor="accent4" w:themeTint="99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qFormat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themeColor="accent5" w:themeShade="94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themeColor="accent5" w:themeShade="94"/>
      </w:rPr>
      <w:tblPr/>
    </w:tblStylePr>
    <w:tblStylePr w:type="firstCol">
      <w:rPr>
        <w:b/>
        <w:color w:themeColor="accent5" w:themeShade="94"/>
      </w:rPr>
      <w:tblPr/>
    </w:tblStylePr>
    <w:tblStylePr w:type="lastCol">
      <w:rPr>
        <w:b/>
        <w:color w:themeColor="accent5" w:themeShade="94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themeColor="accent5" w:themeShade="94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themeColor="accent5" w:themeShade="94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qFormat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themeColor="accent5" w:themeShade="94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themeColor="accent5" w:themeShade="94"/>
      </w:rPr>
      <w:tblPr/>
    </w:tblStylePr>
    <w:tblStylePr w:type="firstCol">
      <w:rPr>
        <w:b/>
        <w:color w:themeColor="accent5" w:themeShade="94"/>
      </w:rPr>
      <w:tblPr/>
    </w:tblStylePr>
    <w:tblStylePr w:type="lastCol">
      <w:rPr>
        <w:b/>
        <w:color w:themeColor="accent5" w:themeShade="94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themeColor="accent5" w:themeShade="94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themeColor="accent5" w:themeShade="94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qFormat/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/>
        <w:sz w:val="22"/>
      </w:rPr>
      <w:tblPr/>
      <w:tcPr>
        <w:tcBorders>
          <w:top w:val="nil"/>
          <w:left w:val="nil"/>
          <w:bottom w:val="single" w:color="7F7F7F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text1" w:themeTint="80"/>
        <w:sz w:val="22"/>
      </w:rPr>
      <w:tblPr/>
      <w:tcPr>
        <w:tcBorders>
          <w:top w:val="single" w:color="7F7F7F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/>
        <w:sz w:val="22"/>
      </w:rPr>
      <w:tblPr/>
      <w:tcPr>
        <w:tcBorders>
          <w:top w:val="nil"/>
          <w:left w:val="nil"/>
          <w:bottom w:val="nil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/>
        <w:sz w:val="22"/>
      </w:rPr>
      <w:tblPr/>
      <w:tcPr>
        <w:tcBorders>
          <w:top w:val="nil"/>
          <w:left w:val="single" w:color="7F7F7F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qFormat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themeColor="accent1" w:themeTint="80"/>
        <w:sz w:val="22"/>
      </w:rPr>
      <w:tblPr/>
      <w:tcPr>
        <w:tcBorders>
          <w:top w:val="nil"/>
          <w:left w:val="nil"/>
          <w:bottom w:val="single" w:color="A6BFDD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1" w:themeTint="80"/>
        <w:sz w:val="22"/>
      </w:rPr>
      <w:tblPr/>
      <w:tcPr>
        <w:tcBorders>
          <w:top w:val="single" w:color="A6BFDD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/>
        <w:sz w:val="22"/>
      </w:rPr>
      <w:tblPr/>
      <w:tcPr>
        <w:tcBorders>
          <w:top w:val="nil"/>
          <w:left w:val="nil"/>
          <w:bottom w:val="nil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/>
        <w:sz w:val="22"/>
      </w:rPr>
      <w:tblPr/>
      <w:tcPr>
        <w:tcBorders>
          <w:top w:val="nil"/>
          <w:left w:val="single" w:color="A6BFD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themeColor="accent1" w:themeTint="80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themeColor="accent1" w:themeTint="80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themeColor="accent2" w:themeTint="96"/>
        <w:sz w:val="22"/>
      </w:rPr>
      <w:tblPr/>
      <w:tcPr>
        <w:tcBorders>
          <w:top w:val="nil"/>
          <w:left w:val="nil"/>
          <w:bottom w:val="single" w:color="D99695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2" w:themeTint="96"/>
        <w:sz w:val="22"/>
      </w:rPr>
      <w:tblPr/>
      <w:tcPr>
        <w:tcBorders>
          <w:top w:val="single" w:color="D99695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6"/>
        <w:sz w:val="22"/>
      </w:rPr>
      <w:tblPr/>
      <w:tcPr>
        <w:tcBorders>
          <w:top w:val="nil"/>
          <w:left w:val="nil"/>
          <w:bottom w:val="nil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6"/>
        <w:sz w:val="22"/>
      </w:rPr>
      <w:tblPr/>
      <w:tcPr>
        <w:tcBorders>
          <w:top w:val="nil"/>
          <w:left w:val="single" w:color="D99695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themeColor="accent2" w:themeTint="96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themeColor="accent2" w:themeTint="96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themeColor="accent3"/>
        <w:sz w:val="22"/>
      </w:rPr>
      <w:tblPr/>
      <w:tcPr>
        <w:tcBorders>
          <w:top w:val="nil"/>
          <w:left w:val="nil"/>
          <w:bottom w:val="single" w:color="9ABB59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3"/>
        <w:sz w:val="22"/>
      </w:rPr>
      <w:tblPr/>
      <w:tcPr>
        <w:tcBorders>
          <w:top w:val="single" w:color="9ABB59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/>
        <w:sz w:val="22"/>
      </w:rPr>
      <w:tblPr/>
      <w:tcPr>
        <w:tcBorders>
          <w:top w:val="nil"/>
          <w:left w:val="nil"/>
          <w:bottom w:val="nil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themeColor="accent3"/>
        <w:sz w:val="22"/>
      </w:rPr>
      <w:tblPr/>
      <w:tcPr>
        <w:tcBorders>
          <w:top w:val="nil"/>
          <w:left w:val="single" w:color="9ABB59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themeColor="accent3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themeColor="accent3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themeColor="accent4" w:themeTint="99"/>
        <w:sz w:val="22"/>
      </w:rPr>
      <w:tblPr/>
      <w:tcPr>
        <w:tcBorders>
          <w:top w:val="nil"/>
          <w:left w:val="nil"/>
          <w:bottom w:val="single" w:color="B2A1C6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4" w:themeTint="99"/>
        <w:sz w:val="22"/>
      </w:rPr>
      <w:tblPr/>
      <w:tcPr>
        <w:tcBorders>
          <w:top w:val="single" w:color="B2A1C6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9"/>
        <w:sz w:val="22"/>
      </w:rPr>
      <w:tblPr/>
      <w:tcPr>
        <w:tcBorders>
          <w:top w:val="nil"/>
          <w:left w:val="nil"/>
          <w:bottom w:val="nil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9"/>
        <w:sz w:val="22"/>
      </w:rPr>
      <w:tblPr/>
      <w:tcPr>
        <w:tcBorders>
          <w:top w:val="nil"/>
          <w:left w:val="single" w:color="B2A1C6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themeColor="accent4" w:themeTint="99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themeColor="accent4" w:themeTint="99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themeColor="accent5" w:themeShade="94"/>
        <w:sz w:val="22"/>
      </w:rPr>
      <w:tblPr/>
      <w:tcPr>
        <w:tcBorders>
          <w:top w:val="nil"/>
          <w:left w:val="nil"/>
          <w:bottom w:val="single" w:color="99D0DE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5" w:themeShade="94"/>
        <w:sz w:val="22"/>
      </w:rPr>
      <w:tblPr/>
      <w:tcPr>
        <w:tcBorders>
          <w:top w:val="single" w:color="99D0DE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4"/>
        <w:sz w:val="22"/>
      </w:rPr>
      <w:tblPr/>
      <w:tcPr>
        <w:tcBorders>
          <w:top w:val="nil"/>
          <w:left w:val="single" w:color="99D0DE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themeColor="accent5" w:themeShade="94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themeColor="accent5" w:themeShade="94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themeColor="accent6" w:themeShade="94"/>
        <w:sz w:val="22"/>
      </w:rPr>
      <w:tblPr/>
      <w:tcPr>
        <w:tcBorders>
          <w:top w:val="nil"/>
          <w:left w:val="nil"/>
          <w:bottom w:val="single" w:color="FAC396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themeColor="accent6" w:themeShade="94"/>
        <w:sz w:val="22"/>
      </w:rPr>
      <w:tblPr/>
      <w:tcPr>
        <w:tcBorders>
          <w:top w:val="single" w:color="FAC396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4"/>
        <w:sz w:val="22"/>
      </w:rPr>
      <w:tblPr/>
      <w:tcPr>
        <w:tcBorders>
          <w:top w:val="nil"/>
          <w:left w:val="single" w:color="FAC396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themeColor="accent6" w:themeShade="94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themeColor="accent6" w:themeShade="94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tblStylePr w:type="firstRow">
      <w:rPr>
        <w:b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StylePr w:type="firstRow">
      <w:rPr>
        <w:b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StylePr w:type="firstRow">
      <w:rPr>
        <w:b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StylePr w:type="firstRow">
      <w:rPr>
        <w:b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StylePr w:type="firstRow">
      <w:rPr>
        <w:b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StylePr w:type="firstRow">
      <w:rPr>
        <w:b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StylePr w:type="firstRow">
      <w:rPr>
        <w:b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il"/>
          <w:bottom w:val="single" w:color="6F6F6F" w:themeColor="text1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il"/>
          <w:bottom w:val="single" w:color="6F6F6F" w:themeColor="text1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7D9" w:themeColor="accent1" w:sz="4" w:space="0"/>
          <w:left w:val="nil"/>
          <w:bottom w:val="single" w:color="9BB7D9" w:themeColor="accent1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9BB7D9" w:themeColor="accent1" w:sz="4" w:space="0"/>
          <w:left w:val="nil"/>
          <w:bottom w:val="single" w:color="9BB7D9" w:themeColor="accent1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B9B9A" w:themeColor="accent2" w:sz="4" w:space="0"/>
          <w:left w:val="nil"/>
          <w:bottom w:val="single" w:color="DB9B9A" w:themeColor="accent2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DB9B9A" w:themeColor="accent2" w:sz="4" w:space="0"/>
          <w:left w:val="nil"/>
          <w:bottom w:val="single" w:color="DB9B9A" w:themeColor="accent2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6D8A1" w:themeColor="accent3" w:sz="4" w:space="0"/>
          <w:left w:val="nil"/>
          <w:bottom w:val="single" w:color="C6D8A1" w:themeColor="accent3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C6D8A1" w:themeColor="accent3" w:sz="4" w:space="0"/>
          <w:left w:val="nil"/>
          <w:bottom w:val="single" w:color="C6D8A1" w:themeColor="accent3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B7A7CA" w:themeColor="accent4" w:sz="4" w:space="0"/>
          <w:left w:val="nil"/>
          <w:bottom w:val="single" w:color="B7A7CA" w:themeColor="accent4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B7A7CA" w:themeColor="accent4" w:sz="4" w:space="0"/>
          <w:left w:val="nil"/>
          <w:bottom w:val="single" w:color="B7A7CA" w:themeColor="accent4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9D0DE" w:themeColor="accent5" w:sz="4" w:space="0"/>
          <w:left w:val="nil"/>
          <w:bottom w:val="single" w:color="99D0DE" w:themeColor="accent5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99D0DE" w:themeColor="accent5" w:sz="4" w:space="0"/>
          <w:left w:val="nil"/>
          <w:bottom w:val="single" w:color="99D0DE" w:themeColor="accent5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AC396" w:themeColor="accent6" w:sz="4" w:space="0"/>
          <w:left w:val="nil"/>
          <w:bottom w:val="single" w:color="FAC396" w:themeColor="accent6" w:sz="4" w:space="0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color="FAC396" w:themeColor="accent6" w:sz="4" w:space="0"/>
          <w:left w:val="nil"/>
          <w:bottom w:val="single" w:color="FAC396" w:themeColor="accent6" w:sz="4" w:space="0"/>
          <w:right w:val="nil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qFormat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themeColor="accent1" w:themeShade="94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themeColor="accent1" w:themeShade="94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themeColor="accent1" w:themeShade="94"/>
      </w:rPr>
      <w:tblPr/>
    </w:tblStylePr>
    <w:tblStylePr w:type="lastCol">
      <w:rPr>
        <w:b/>
        <w:color w:themeColor="accent1" w:themeShade="94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themeColor="accent1" w:themeShade="94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themeColor="accent1" w:themeShade="94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themeColor="accent2" w:themeTint="96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themeColor="accent2" w:themeTint="96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themeColor="accent2" w:themeTint="96"/>
      </w:rPr>
      <w:tblPr/>
    </w:tblStylePr>
    <w:tblStylePr w:type="lastCol">
      <w:rPr>
        <w:b/>
        <w:color w:themeColor="accent2" w:themeTint="96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themeColor="accent2" w:themeTint="96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themeColor="accent2" w:themeTint="96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themeColor="accent3" w:themeTint="99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themeColor="accent3" w:themeTint="99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themeColor="accent3" w:themeTint="99"/>
      </w:rPr>
      <w:tblPr/>
    </w:tblStylePr>
    <w:tblStylePr w:type="lastCol">
      <w:rPr>
        <w:b/>
        <w:color w:themeColor="accent3" w:themeTint="99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themeColor="accent3" w:themeTint="99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themeColor="accent3" w:themeTint="99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themeColor="accent4" w:themeTint="99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themeColor="accent4" w:themeTint="99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themeColor="accent4" w:themeTint="99"/>
      </w:rPr>
      <w:tblPr/>
    </w:tblStylePr>
    <w:tblStylePr w:type="lastCol">
      <w:rPr>
        <w:b/>
        <w:color w:themeColor="accent4" w:themeTint="99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themeColor="accent4" w:themeTint="99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themeColor="accent4" w:themeTint="99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themeColor="accent5" w:themeTint="99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themeColor="accent5" w:themeTint="99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themeColor="accent5" w:themeTint="99"/>
      </w:rPr>
      <w:tblPr/>
    </w:tblStylePr>
    <w:tblStylePr w:type="lastCol">
      <w:rPr>
        <w:b/>
        <w:color w:themeColor="accent5" w:themeTint="99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themeColor="accent5" w:themeTint="99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themeColor="accent5" w:themeTint="99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themeColor="accent6" w:themeTint="99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themeColor="accent6" w:themeTint="99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themeColor="accent6" w:themeTint="99"/>
      </w:rPr>
      <w:tblPr/>
    </w:tblStylePr>
    <w:tblStylePr w:type="lastCol">
      <w:rPr>
        <w:b/>
        <w:color w:themeColor="accent6" w:themeTint="99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themeColor="accent6" w:themeTint="99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themeColor="accent6" w:themeTint="99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color="7F7F7F" w:themeColor="text1" w:themeTint="80" w:sz="4" w:space="0"/>
      </w:tblBorders>
    </w:tblPr>
    <w:tblStylePr w:type="firstRow">
      <w:rPr>
        <w:i/>
        <w:color w:themeColor="text1" w:themeTint="80"/>
        <w:sz w:val="22"/>
      </w:rPr>
      <w:tblPr/>
      <w:tcPr>
        <w:tcBorders>
          <w:top w:val="nil"/>
          <w:left w:val="nil"/>
          <w:bottom w:val="single" w:color="7F7F7F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text1" w:themeTint="80"/>
        <w:sz w:val="22"/>
      </w:rPr>
      <w:tblPr/>
      <w:tcPr>
        <w:tcBorders>
          <w:top w:val="single" w:color="7F7F7F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/>
        <w:sz w:val="22"/>
      </w:rPr>
      <w:tblPr/>
      <w:tcPr>
        <w:tcBorders>
          <w:top w:val="nil"/>
          <w:left w:val="nil"/>
          <w:bottom w:val="nil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/>
        <w:sz w:val="22"/>
      </w:rPr>
      <w:tblPr/>
      <w:tcPr>
        <w:tcBorders>
          <w:top w:val="nil"/>
          <w:left w:val="single" w:color="7F7F7F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color="4F81BD" w:themeColor="accent1" w:sz="4" w:space="0"/>
      </w:tblBorders>
    </w:tblPr>
    <w:tblStylePr w:type="firstRow">
      <w:rPr>
        <w:i/>
        <w:color w:themeColor="accent1" w:themeShade="94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1" w:themeShade="94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4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themeColor="accent1" w:themeShade="94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themeColor="accent1" w:themeShade="94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color="D99695" w:themeColor="accent2" w:themeTint="97" w:sz="4" w:space="0"/>
      </w:tblBorders>
    </w:tblPr>
    <w:tblStylePr w:type="firstRow">
      <w:rPr>
        <w:i/>
        <w:color w:themeColor="accent2" w:themeTint="96"/>
        <w:sz w:val="22"/>
      </w:rPr>
      <w:tblPr/>
      <w:tcPr>
        <w:tcBorders>
          <w:top w:val="nil"/>
          <w:left w:val="nil"/>
          <w:bottom w:val="single" w:color="D99695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2" w:themeTint="96"/>
        <w:sz w:val="22"/>
      </w:rPr>
      <w:tblPr/>
      <w:tcPr>
        <w:tcBorders>
          <w:top w:val="single" w:color="D99695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6"/>
        <w:sz w:val="22"/>
      </w:rPr>
      <w:tblPr/>
      <w:tcPr>
        <w:tcBorders>
          <w:top w:val="nil"/>
          <w:left w:val="nil"/>
          <w:bottom w:val="nil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6"/>
        <w:sz w:val="22"/>
      </w:rPr>
      <w:tblPr/>
      <w:tcPr>
        <w:tcBorders>
          <w:top w:val="nil"/>
          <w:left w:val="single" w:color="D99695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themeColor="accent2" w:themeTint="96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themeColor="accent2" w:themeTint="96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color="C3D69B" w:themeColor="accent3" w:themeTint="98" w:sz="4" w:space="0"/>
      </w:tblBorders>
    </w:tblPr>
    <w:tblStylePr w:type="firstRow">
      <w:rPr>
        <w:i/>
        <w:color w:themeColor="accent3" w:themeTint="99"/>
        <w:sz w:val="22"/>
      </w:rPr>
      <w:tblPr/>
      <w:tcPr>
        <w:tcBorders>
          <w:top w:val="nil"/>
          <w:left w:val="nil"/>
          <w:bottom w:val="single" w:color="C3D69B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3" w:themeTint="99"/>
        <w:sz w:val="22"/>
      </w:rPr>
      <w:tblPr/>
      <w:tcPr>
        <w:tcBorders>
          <w:top w:val="single" w:color="C3D69B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9"/>
        <w:sz w:val="22"/>
      </w:rPr>
      <w:tblPr/>
      <w:tcPr>
        <w:tcBorders>
          <w:top w:val="nil"/>
          <w:left w:val="nil"/>
          <w:bottom w:val="nil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9"/>
        <w:sz w:val="22"/>
      </w:rPr>
      <w:tblPr/>
      <w:tcPr>
        <w:tcBorders>
          <w:top w:val="nil"/>
          <w:left w:val="single" w:color="C3D69B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themeColor="accent3" w:themeTint="99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themeColor="accent3" w:themeTint="99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i/>
        <w:color w:themeColor="accent4" w:themeTint="99"/>
        <w:sz w:val="22"/>
      </w:rPr>
      <w:tblPr/>
      <w:tcPr>
        <w:tcBorders>
          <w:top w:val="nil"/>
          <w:left w:val="nil"/>
          <w:bottom w:val="single" w:color="B2A1C6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4" w:themeTint="99"/>
        <w:sz w:val="22"/>
      </w:rPr>
      <w:tblPr/>
      <w:tcPr>
        <w:tcBorders>
          <w:top w:val="single" w:color="B2A1C6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9"/>
        <w:sz w:val="22"/>
      </w:rPr>
      <w:tblPr/>
      <w:tcPr>
        <w:tcBorders>
          <w:top w:val="nil"/>
          <w:left w:val="nil"/>
          <w:bottom w:val="nil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9"/>
        <w:sz w:val="22"/>
      </w:rPr>
      <w:tblPr/>
      <w:tcPr>
        <w:tcBorders>
          <w:top w:val="nil"/>
          <w:left w:val="single" w:color="B2A1C6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themeColor="accent4" w:themeTint="99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themeColor="accent4" w:themeTint="99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i/>
        <w:color w:themeColor="accent5" w:themeTint="99"/>
        <w:sz w:val="22"/>
      </w:rPr>
      <w:tblPr/>
      <w:tcPr>
        <w:tcBorders>
          <w:top w:val="nil"/>
          <w:left w:val="nil"/>
          <w:bottom w:val="single" w:color="92CCDC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5" w:themeTint="99"/>
        <w:sz w:val="22"/>
      </w:rPr>
      <w:tblPr/>
      <w:tcPr>
        <w:tcBorders>
          <w:top w:val="single" w:color="92CCDC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9"/>
        <w:sz w:val="22"/>
      </w:rPr>
      <w:tblPr/>
      <w:tcPr>
        <w:tcBorders>
          <w:top w:val="nil"/>
          <w:left w:val="nil"/>
          <w:bottom w:val="nil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9"/>
        <w:sz w:val="22"/>
      </w:rPr>
      <w:tblPr/>
      <w:tcPr>
        <w:tcBorders>
          <w:top w:val="nil"/>
          <w:left w:val="single" w:color="92CCDC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themeColor="accent5" w:themeTint="99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themeColor="accent5" w:themeTint="99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color="FAC090" w:themeColor="accent6" w:themeTint="98" w:sz="4" w:space="0"/>
      </w:tblBorders>
    </w:tblPr>
    <w:tblStylePr w:type="firstRow">
      <w:rPr>
        <w:i/>
        <w:color w:themeColor="accent6" w:themeTint="99"/>
        <w:sz w:val="22"/>
      </w:rPr>
      <w:tblPr/>
      <w:tcPr>
        <w:tcBorders>
          <w:top w:val="nil"/>
          <w:left w:val="nil"/>
          <w:bottom w:val="single" w:color="FAC090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themeColor="accent6" w:themeTint="99"/>
        <w:sz w:val="22"/>
      </w:rPr>
      <w:tblPr/>
      <w:tcPr>
        <w:tcBorders>
          <w:top w:val="single" w:color="FAC090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9"/>
        <w:sz w:val="22"/>
      </w:rPr>
      <w:tblPr/>
      <w:tcPr>
        <w:tcBorders>
          <w:top w:val="nil"/>
          <w:left w:val="nil"/>
          <w:bottom w:val="nil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9"/>
        <w:sz w:val="22"/>
      </w:rPr>
      <w:tblPr/>
      <w:tcPr>
        <w:tcBorders>
          <w:top w:val="nil"/>
          <w:left w:val="single" w:color="FAC090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themeColor="accent6" w:themeTint="99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themeColor="accent6" w:themeTint="99"/>
        <w:sz w:val="22"/>
      </w:rPr>
      <w:tblPr/>
    </w:tblStylePr>
  </w:style>
  <w:style w:type="table" w:customStyle="1" w:styleId="Lined-Accent">
    <w:name w:val="Lined - Accent"/>
    <w:basedOn w:val="a1"/>
    <w:uiPriority w:val="99"/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tblPr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tblPr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tblPr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tblPr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tblPr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tblPr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iit.ru/depts/37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Application>LibreOffice/24.2.7.2$Linux_X86_64 LibreOffice_project/420$Build-2</Application>
  <AppVersion>15.0000</AppVersion>
  <Pages>18</Pages>
  <Words>1805</Words>
  <Characters>9117</Characters>
  <CharactersWithSpaces>11623</CharactersWithSpaces>
  <Paragraphs>449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2025-09-29T11:08:00Z</dcterms:created>
  <dc:creator>Людмила Логинова</dc:creator>
  <dc:description/>
  <dc:language>ru-RU</dc:language>
  <cp:lastModifiedBy/>
  <dcterms:modified xsi:type="dcterms:W3CDTF">2025-12-15T15:39:22Z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6B9C0DFA2F414FE2858A387C65DF3ADA_12</vt:lpwstr>
  </property>
  <property fmtid="{D5CDD505-2E9C-101B-9397-08002B2CF9AE}" pid="3" name="KSOProductBuildVer">
    <vt:lpwstr>1049-12.2.0.23155</vt:lpwstr>
  </property>
</Properties>
</file>