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528094"/>
        <w:docPartObj>
          <w:docPartGallery w:val="Cover Pages"/>
          <w:docPartUnique/>
        </w:docPartObj>
      </w:sdtPr>
      <w:sdtContent>
        <w:p w:rsidR="00084C2C" w:rsidRDefault="00084C2C"/>
        <w:p w:rsidR="00084C2C" w:rsidRDefault="00084C2C"/>
        <w:p w:rsidR="00084C2C" w:rsidRDefault="00084C2C"/>
        <w:p w:rsidR="008C3195" w:rsidRDefault="008C3195"/>
        <w:p w:rsidR="008C3195" w:rsidRDefault="008C3195"/>
        <w:p w:rsidR="008C3195" w:rsidRDefault="008C3195"/>
        <w:p w:rsidR="008C3195" w:rsidRDefault="008C3195"/>
        <w:p w:rsidR="00A72521" w:rsidRDefault="00A72521" w:rsidP="00A72521">
          <w:pPr>
            <w:jc w:val="center"/>
            <w:rPr>
              <w:b/>
              <w:sz w:val="72"/>
            </w:rPr>
          </w:pPr>
          <w:r w:rsidRPr="00A72521">
            <w:rPr>
              <w:b/>
              <w:sz w:val="72"/>
            </w:rPr>
            <w:t>ASSET ALLOCATION REPORT</w:t>
          </w:r>
        </w:p>
        <w:p w:rsidR="00A72521" w:rsidRDefault="00A72521" w:rsidP="00A72521">
          <w:pPr>
            <w:jc w:val="center"/>
            <w:rPr>
              <w:b/>
              <w:sz w:val="72"/>
            </w:rPr>
          </w:pPr>
        </w:p>
        <w:p w:rsidR="00084C2C" w:rsidRDefault="009452F9" w:rsidP="00A72521">
          <w:pPr>
            <w:jc w:val="center"/>
          </w:pPr>
          <w:r w:rsidRPr="009452F9">
            <w:rPr>
              <w:b/>
              <w:noProof/>
              <w:sz w:val="72"/>
              <w:lang w:val="en-US" w:eastAsia="zh-TW"/>
            </w:rPr>
            <w:pict>
              <v:shapetype id="_x0000_t202" coordsize="21600,21600" o:spt="202" path="m,l,21600r21600,l21600,xe">
                <v:stroke joinstyle="miter"/>
                <v:path gradientshapeok="t" o:connecttype="rect"/>
              </v:shapetype>
              <v:shape id="_x0000_s1028" type="#_x0000_t202" style="position:absolute;left:0;text-align:left;margin-left:0;margin-top:0;width:483.85pt;height:64.3pt;z-index:251661312;mso-height-percent:200;mso-position-horizontal:center;mso-height-percent:200;mso-width-relative:margin;mso-height-relative:margin" fillcolor="#a5a5a5 [2092]">
                <v:textbox style="mso-fit-shape-to-text:t">
                  <w:txbxContent>
                    <w:p w:rsidR="00A72521" w:rsidRPr="00A72521" w:rsidRDefault="00A72521" w:rsidP="00A72521">
                      <w:pPr>
                        <w:jc w:val="center"/>
                        <w:rPr>
                          <w:b/>
                          <w:color w:val="FFFFFF" w:themeColor="background1"/>
                          <w:sz w:val="36"/>
                        </w:rPr>
                      </w:pPr>
                      <w:r w:rsidRPr="00A72521">
                        <w:rPr>
                          <w:b/>
                          <w:color w:val="FFFFFF" w:themeColor="background1"/>
                          <w:sz w:val="36"/>
                        </w:rPr>
                        <w:t>Ms. AMANDEEP KAUR</w:t>
                      </w:r>
                    </w:p>
                    <w:p w:rsidR="00A72521" w:rsidRDefault="00A72521" w:rsidP="00A72521">
                      <w:pPr>
                        <w:jc w:val="center"/>
                      </w:pPr>
                      <w:r w:rsidRPr="00A72521">
                        <w:rPr>
                          <w:b/>
                          <w:color w:val="FFFFFF" w:themeColor="background1"/>
                          <w:sz w:val="36"/>
                        </w:rPr>
                        <w:t xml:space="preserve">Prepared on: </w:t>
                      </w:r>
                      <w:r w:rsidR="009452F9" w:rsidRPr="00A72521">
                        <w:rPr>
                          <w:b/>
                          <w:color w:val="FFFFFF" w:themeColor="background1"/>
                          <w:sz w:val="36"/>
                        </w:rPr>
                        <w:fldChar w:fldCharType="begin"/>
                      </w:r>
                      <w:r w:rsidRPr="00A72521">
                        <w:rPr>
                          <w:b/>
                          <w:color w:val="FFFFFF" w:themeColor="background1"/>
                          <w:sz w:val="36"/>
                        </w:rPr>
                        <w:instrText xml:space="preserve"> DATE \@ "dd MMMM yyyy" </w:instrText>
                      </w:r>
                      <w:r w:rsidR="009452F9" w:rsidRPr="00A72521">
                        <w:rPr>
                          <w:b/>
                          <w:color w:val="FFFFFF" w:themeColor="background1"/>
                          <w:sz w:val="36"/>
                        </w:rPr>
                        <w:fldChar w:fldCharType="separate"/>
                      </w:r>
                      <w:r w:rsidR="00B77F98">
                        <w:rPr>
                          <w:b/>
                          <w:noProof/>
                          <w:color w:val="FFFFFF" w:themeColor="background1"/>
                          <w:sz w:val="36"/>
                        </w:rPr>
                        <w:t>21 September 2016</w:t>
                      </w:r>
                      <w:r w:rsidR="009452F9" w:rsidRPr="00A72521">
                        <w:rPr>
                          <w:b/>
                          <w:color w:val="FFFFFF" w:themeColor="background1"/>
                          <w:sz w:val="36"/>
                        </w:rPr>
                        <w:fldChar w:fldCharType="end"/>
                      </w:r>
                    </w:p>
                  </w:txbxContent>
                </v:textbox>
              </v:shape>
            </w:pict>
          </w:r>
          <w:r w:rsidR="00084C2C">
            <w:br w:type="page"/>
          </w:r>
        </w:p>
      </w:sdtContent>
    </w:sdt>
    <w:p w:rsidR="009368CF" w:rsidRDefault="009368CF"/>
    <w:p w:rsidR="00A32856" w:rsidRDefault="00663595">
      <w:r>
        <w:t>Dear Ms Kau</w:t>
      </w:r>
      <w:r w:rsidR="00A32856">
        <w:t>r,</w:t>
      </w:r>
    </w:p>
    <w:p w:rsidR="00F24CC2" w:rsidRDefault="00942AC9">
      <w:r>
        <w:t>Congratulations</w:t>
      </w:r>
      <w:r w:rsidR="00D25D76">
        <w:t xml:space="preserve"> </w:t>
      </w:r>
      <w:r>
        <w:t xml:space="preserve">on your next step towards a financially planned future. </w:t>
      </w:r>
      <w:r w:rsidR="00D25D76">
        <w:t>You are currently saving adequately to meet your financial objectives</w:t>
      </w:r>
      <w:r w:rsidR="00267C89">
        <w:t xml:space="preserve"> now you just need to invest wisely</w:t>
      </w:r>
      <w:r>
        <w:t>. Making investment decisions may sometimes sound intimidating but you need not worry as in this report we are going to provide not only a comprehensive analysis of your financial status and goals but also suggest</w:t>
      </w:r>
      <w:r w:rsidR="00F24CC2">
        <w:t xml:space="preserve"> you the funds in which you should invest to achieve your goals.</w:t>
      </w:r>
    </w:p>
    <w:p w:rsidR="00FF33EB" w:rsidRDefault="00FF33EB">
      <w:r>
        <w:t>In the table below, a comprehensive evaluation of your goals is provided. Accordingly, we have prioritised the goals for you and provided the exact amount you should invest in the different asset classes in order to achieve your goals. Further, for achieving your retirement n</w:t>
      </w:r>
      <w:r w:rsidR="0076407F">
        <w:t>eeds you should invest Rs. 4,000</w:t>
      </w:r>
      <w:r>
        <w:t xml:space="preserve"> in equity funds, Rs. </w:t>
      </w:r>
      <w:r w:rsidR="0076407F">
        <w:t>2,000</w:t>
      </w:r>
      <w:r>
        <w:t xml:space="preserve"> in Pub</w:t>
      </w:r>
      <w:r w:rsidR="0076407F">
        <w:t>lic provident fund and Rs. 1,500</w:t>
      </w:r>
      <w:r>
        <w:t xml:space="preserve"> in National Pension scheme.</w:t>
      </w:r>
    </w:p>
    <w:p w:rsidR="000D69F7" w:rsidRDefault="00FF33EB">
      <w:r>
        <w:t xml:space="preserve">Similarly, </w:t>
      </w:r>
      <w:r w:rsidR="000C49A4">
        <w:t>for emergency f</w:t>
      </w:r>
      <w:r w:rsidR="0076407F">
        <w:t>und you should invest Rs. 10,750</w:t>
      </w:r>
      <w:r w:rsidR="006F2D0E">
        <w:t xml:space="preserve"> in debt/hybrid mutual fund and save the same amount in your saving account. Moreover, for the down </w:t>
      </w:r>
      <w:r w:rsidR="00B504C8">
        <w:t xml:space="preserve">payment of your house loan, you </w:t>
      </w:r>
      <w:r w:rsidR="0076407F">
        <w:t>should invest Rs. 6,000</w:t>
      </w:r>
      <w:r w:rsidR="006F2D0E">
        <w:t xml:space="preserve"> in a debt or hybrid mutual fund.</w:t>
      </w:r>
      <w:r w:rsidR="000C49A4">
        <w:t xml:space="preserve"> </w:t>
      </w:r>
    </w:p>
    <w:p w:rsidR="00E71422" w:rsidRDefault="00E71422"/>
    <w:tbl>
      <w:tblPr>
        <w:tblStyle w:val="MediumShading1-Accent4"/>
        <w:tblW w:w="5840" w:type="pct"/>
        <w:jc w:val="center"/>
        <w:tblLook w:val="04A0"/>
      </w:tblPr>
      <w:tblGrid>
        <w:gridCol w:w="1499"/>
        <w:gridCol w:w="955"/>
        <w:gridCol w:w="1513"/>
        <w:gridCol w:w="1059"/>
        <w:gridCol w:w="1470"/>
        <w:gridCol w:w="744"/>
        <w:gridCol w:w="1218"/>
        <w:gridCol w:w="897"/>
        <w:gridCol w:w="672"/>
        <w:gridCol w:w="768"/>
      </w:tblGrid>
      <w:tr w:rsidR="000A37CA" w:rsidRPr="00393F07" w:rsidTr="000A37CA">
        <w:trPr>
          <w:cnfStyle w:val="100000000000"/>
          <w:trHeight w:val="668"/>
          <w:jc w:val="center"/>
        </w:trPr>
        <w:tc>
          <w:tcPr>
            <w:cnfStyle w:val="001000000000"/>
            <w:tcW w:w="718" w:type="pct"/>
            <w:vAlign w:val="center"/>
          </w:tcPr>
          <w:p w:rsidR="000D69F7" w:rsidRPr="00E71422" w:rsidRDefault="00CC4ABF" w:rsidP="00E71422">
            <w:pPr>
              <w:rPr>
                <w:sz w:val="20"/>
                <w:szCs w:val="20"/>
              </w:rPr>
            </w:pPr>
            <w:r w:rsidRPr="00E71422">
              <w:rPr>
                <w:sz w:val="20"/>
                <w:szCs w:val="20"/>
              </w:rPr>
              <w:t>Goals</w:t>
            </w:r>
          </w:p>
        </w:tc>
        <w:tc>
          <w:tcPr>
            <w:tcW w:w="466" w:type="pct"/>
            <w:vAlign w:val="center"/>
          </w:tcPr>
          <w:p w:rsidR="000D69F7" w:rsidRDefault="00CC4ABF" w:rsidP="000A37CA">
            <w:pPr>
              <w:cnfStyle w:val="100000000000"/>
              <w:rPr>
                <w:sz w:val="20"/>
                <w:szCs w:val="20"/>
              </w:rPr>
            </w:pPr>
            <w:r w:rsidRPr="00E71422">
              <w:rPr>
                <w:sz w:val="20"/>
                <w:szCs w:val="20"/>
              </w:rPr>
              <w:t>Amount</w:t>
            </w:r>
          </w:p>
          <w:p w:rsidR="00363308" w:rsidRPr="00E71422" w:rsidRDefault="00363308" w:rsidP="000A37CA">
            <w:pPr>
              <w:cnfStyle w:val="100000000000"/>
              <w:rPr>
                <w:sz w:val="20"/>
                <w:szCs w:val="20"/>
              </w:rPr>
            </w:pPr>
            <w:r>
              <w:rPr>
                <w:sz w:val="20"/>
                <w:szCs w:val="20"/>
              </w:rPr>
              <w:t>(Rs. In lakhs)</w:t>
            </w:r>
          </w:p>
        </w:tc>
        <w:tc>
          <w:tcPr>
            <w:tcW w:w="704" w:type="pct"/>
            <w:vAlign w:val="center"/>
          </w:tcPr>
          <w:p w:rsidR="000D69F7" w:rsidRPr="00E71422" w:rsidRDefault="00CC4ABF" w:rsidP="000A37CA">
            <w:pPr>
              <w:cnfStyle w:val="100000000000"/>
              <w:rPr>
                <w:sz w:val="20"/>
                <w:szCs w:val="20"/>
              </w:rPr>
            </w:pPr>
            <w:r w:rsidRPr="00E71422">
              <w:rPr>
                <w:sz w:val="20"/>
                <w:szCs w:val="20"/>
              </w:rPr>
              <w:t>Target Date</w:t>
            </w:r>
          </w:p>
        </w:tc>
        <w:tc>
          <w:tcPr>
            <w:tcW w:w="506" w:type="pct"/>
            <w:vAlign w:val="center"/>
          </w:tcPr>
          <w:p w:rsidR="000D69F7" w:rsidRPr="00E71422" w:rsidRDefault="00363308" w:rsidP="00E71422">
            <w:pPr>
              <w:cnfStyle w:val="100000000000"/>
              <w:rPr>
                <w:sz w:val="20"/>
                <w:szCs w:val="20"/>
              </w:rPr>
            </w:pPr>
            <w:r>
              <w:rPr>
                <w:sz w:val="20"/>
                <w:szCs w:val="20"/>
              </w:rPr>
              <w:t>Current Allocation</w:t>
            </w:r>
          </w:p>
        </w:tc>
        <w:tc>
          <w:tcPr>
            <w:tcW w:w="491" w:type="pct"/>
            <w:vAlign w:val="center"/>
          </w:tcPr>
          <w:p w:rsidR="000D69F7" w:rsidRPr="00E71422" w:rsidRDefault="0001653C" w:rsidP="0001653C">
            <w:pPr>
              <w:jc w:val="center"/>
              <w:cnfStyle w:val="100000000000"/>
              <w:rPr>
                <w:sz w:val="20"/>
                <w:szCs w:val="20"/>
              </w:rPr>
            </w:pPr>
            <w:r>
              <w:rPr>
                <w:sz w:val="20"/>
                <w:szCs w:val="20"/>
              </w:rPr>
              <w:t>Recommended</w:t>
            </w:r>
            <w:r w:rsidR="00CC4ABF" w:rsidRPr="00E71422">
              <w:rPr>
                <w:sz w:val="20"/>
                <w:szCs w:val="20"/>
              </w:rPr>
              <w:t xml:space="preserve"> Allocation</w:t>
            </w:r>
          </w:p>
        </w:tc>
        <w:tc>
          <w:tcPr>
            <w:tcW w:w="397" w:type="pct"/>
            <w:vAlign w:val="center"/>
          </w:tcPr>
          <w:p w:rsidR="000D69F7" w:rsidRPr="00E71422" w:rsidRDefault="00CC4ABF" w:rsidP="00E71422">
            <w:pPr>
              <w:cnfStyle w:val="100000000000"/>
              <w:rPr>
                <w:sz w:val="20"/>
                <w:szCs w:val="20"/>
              </w:rPr>
            </w:pPr>
            <w:r w:rsidRPr="00E71422">
              <w:rPr>
                <w:sz w:val="20"/>
                <w:szCs w:val="20"/>
              </w:rPr>
              <w:t>Equity Fund</w:t>
            </w:r>
          </w:p>
        </w:tc>
        <w:tc>
          <w:tcPr>
            <w:tcW w:w="588" w:type="pct"/>
            <w:vAlign w:val="center"/>
          </w:tcPr>
          <w:p w:rsidR="000D69F7" w:rsidRPr="00E71422" w:rsidRDefault="00CC4ABF" w:rsidP="00E71422">
            <w:pPr>
              <w:cnfStyle w:val="100000000000"/>
              <w:rPr>
                <w:sz w:val="20"/>
                <w:szCs w:val="20"/>
              </w:rPr>
            </w:pPr>
            <w:r w:rsidRPr="00E71422">
              <w:rPr>
                <w:sz w:val="20"/>
                <w:szCs w:val="20"/>
              </w:rPr>
              <w:t>Hybrid/ Debt Fund</w:t>
            </w:r>
          </w:p>
        </w:tc>
        <w:tc>
          <w:tcPr>
            <w:tcW w:w="415" w:type="pct"/>
            <w:vAlign w:val="center"/>
          </w:tcPr>
          <w:p w:rsidR="000D69F7" w:rsidRPr="00E71422" w:rsidRDefault="00CC4ABF" w:rsidP="00E71422">
            <w:pPr>
              <w:cnfStyle w:val="100000000000"/>
              <w:rPr>
                <w:sz w:val="20"/>
                <w:szCs w:val="20"/>
              </w:rPr>
            </w:pPr>
            <w:r w:rsidRPr="00E71422">
              <w:rPr>
                <w:sz w:val="20"/>
                <w:szCs w:val="20"/>
              </w:rPr>
              <w:t>Savings Account</w:t>
            </w:r>
          </w:p>
        </w:tc>
        <w:tc>
          <w:tcPr>
            <w:tcW w:w="326" w:type="pct"/>
            <w:vAlign w:val="center"/>
          </w:tcPr>
          <w:p w:rsidR="000D69F7" w:rsidRPr="00E71422" w:rsidRDefault="00CC4ABF" w:rsidP="00E71422">
            <w:pPr>
              <w:cnfStyle w:val="100000000000"/>
              <w:rPr>
                <w:sz w:val="20"/>
                <w:szCs w:val="20"/>
              </w:rPr>
            </w:pPr>
            <w:r w:rsidRPr="00E71422">
              <w:rPr>
                <w:sz w:val="20"/>
                <w:szCs w:val="20"/>
              </w:rPr>
              <w:t>PPF</w:t>
            </w:r>
          </w:p>
        </w:tc>
        <w:tc>
          <w:tcPr>
            <w:tcW w:w="388" w:type="pct"/>
            <w:vAlign w:val="center"/>
          </w:tcPr>
          <w:p w:rsidR="000D69F7" w:rsidRPr="00E71422" w:rsidRDefault="00CC4ABF" w:rsidP="00E71422">
            <w:pPr>
              <w:cnfStyle w:val="100000000000"/>
              <w:rPr>
                <w:sz w:val="20"/>
                <w:szCs w:val="20"/>
              </w:rPr>
            </w:pPr>
            <w:r w:rsidRPr="00E71422">
              <w:rPr>
                <w:sz w:val="20"/>
                <w:szCs w:val="20"/>
              </w:rPr>
              <w:t>NPS</w:t>
            </w:r>
          </w:p>
        </w:tc>
      </w:tr>
      <w:tr w:rsidR="000A37CA" w:rsidRPr="00393F07" w:rsidTr="000A37CA">
        <w:trPr>
          <w:cnfStyle w:val="000000100000"/>
          <w:trHeight w:val="347"/>
          <w:jc w:val="center"/>
        </w:trPr>
        <w:tc>
          <w:tcPr>
            <w:cnfStyle w:val="001000000000"/>
            <w:tcW w:w="718" w:type="pct"/>
            <w:vAlign w:val="center"/>
          </w:tcPr>
          <w:p w:rsidR="000D69F7" w:rsidRPr="00E71422" w:rsidRDefault="00CC4ABF" w:rsidP="00E71422">
            <w:pPr>
              <w:rPr>
                <w:sz w:val="20"/>
                <w:szCs w:val="20"/>
              </w:rPr>
            </w:pPr>
            <w:r w:rsidRPr="00E71422">
              <w:rPr>
                <w:sz w:val="20"/>
                <w:szCs w:val="20"/>
              </w:rPr>
              <w:t>Retirement</w:t>
            </w:r>
          </w:p>
        </w:tc>
        <w:tc>
          <w:tcPr>
            <w:tcW w:w="466" w:type="pct"/>
            <w:vAlign w:val="center"/>
          </w:tcPr>
          <w:p w:rsidR="000D69F7" w:rsidRPr="00E71422" w:rsidRDefault="00CC4ABF" w:rsidP="000A37CA">
            <w:pPr>
              <w:cnfStyle w:val="000000100000"/>
              <w:rPr>
                <w:sz w:val="20"/>
                <w:szCs w:val="20"/>
              </w:rPr>
            </w:pPr>
            <w:r w:rsidRPr="00E71422">
              <w:rPr>
                <w:sz w:val="20"/>
                <w:szCs w:val="20"/>
              </w:rPr>
              <w:t>9</w:t>
            </w:r>
            <w:r w:rsidR="00363308">
              <w:rPr>
                <w:sz w:val="20"/>
                <w:szCs w:val="20"/>
              </w:rPr>
              <w:t>1</w:t>
            </w:r>
          </w:p>
        </w:tc>
        <w:tc>
          <w:tcPr>
            <w:tcW w:w="704" w:type="pct"/>
            <w:vAlign w:val="center"/>
          </w:tcPr>
          <w:p w:rsidR="000D69F7" w:rsidRPr="00E71422" w:rsidRDefault="00363308" w:rsidP="000A37CA">
            <w:pPr>
              <w:cnfStyle w:val="000000100000"/>
              <w:rPr>
                <w:sz w:val="20"/>
                <w:szCs w:val="20"/>
              </w:rPr>
            </w:pPr>
            <w:r>
              <w:rPr>
                <w:sz w:val="20"/>
                <w:szCs w:val="20"/>
              </w:rPr>
              <w:t>July,</w:t>
            </w:r>
            <w:r w:rsidR="00CC4ABF" w:rsidRPr="00E71422">
              <w:rPr>
                <w:sz w:val="20"/>
                <w:szCs w:val="20"/>
              </w:rPr>
              <w:t>2051</w:t>
            </w:r>
          </w:p>
        </w:tc>
        <w:tc>
          <w:tcPr>
            <w:tcW w:w="506" w:type="pct"/>
            <w:vAlign w:val="center"/>
          </w:tcPr>
          <w:p w:rsidR="000D69F7" w:rsidRPr="00E71422" w:rsidRDefault="00363308" w:rsidP="00E71422">
            <w:pPr>
              <w:cnfStyle w:val="000000100000"/>
              <w:rPr>
                <w:sz w:val="20"/>
                <w:szCs w:val="20"/>
              </w:rPr>
            </w:pPr>
            <w:r>
              <w:rPr>
                <w:sz w:val="20"/>
                <w:szCs w:val="20"/>
              </w:rPr>
              <w:t>8,</w:t>
            </w:r>
            <w:r w:rsidR="0001653C">
              <w:rPr>
                <w:sz w:val="20"/>
                <w:szCs w:val="20"/>
              </w:rPr>
              <w:t>333</w:t>
            </w:r>
          </w:p>
        </w:tc>
        <w:tc>
          <w:tcPr>
            <w:tcW w:w="491" w:type="pct"/>
            <w:vAlign w:val="center"/>
          </w:tcPr>
          <w:p w:rsidR="000D69F7" w:rsidRPr="00E71422" w:rsidRDefault="00363308" w:rsidP="00E71422">
            <w:pPr>
              <w:cnfStyle w:val="000000100000"/>
              <w:rPr>
                <w:sz w:val="20"/>
                <w:szCs w:val="20"/>
              </w:rPr>
            </w:pPr>
            <w:r>
              <w:rPr>
                <w:sz w:val="20"/>
                <w:szCs w:val="20"/>
              </w:rPr>
              <w:t>7,500</w:t>
            </w:r>
          </w:p>
        </w:tc>
        <w:tc>
          <w:tcPr>
            <w:tcW w:w="397" w:type="pct"/>
            <w:vAlign w:val="center"/>
          </w:tcPr>
          <w:p w:rsidR="000D69F7" w:rsidRPr="00E71422" w:rsidRDefault="000A37CA" w:rsidP="00E71422">
            <w:pPr>
              <w:cnfStyle w:val="000000100000"/>
              <w:rPr>
                <w:sz w:val="20"/>
                <w:szCs w:val="20"/>
              </w:rPr>
            </w:pPr>
            <w:r>
              <w:rPr>
                <w:sz w:val="20"/>
                <w:szCs w:val="20"/>
              </w:rPr>
              <w:t>4,000</w:t>
            </w:r>
          </w:p>
        </w:tc>
        <w:tc>
          <w:tcPr>
            <w:tcW w:w="588" w:type="pct"/>
            <w:vAlign w:val="center"/>
          </w:tcPr>
          <w:p w:rsidR="000D69F7" w:rsidRPr="00E71422" w:rsidRDefault="00BF4289" w:rsidP="00E71422">
            <w:pPr>
              <w:cnfStyle w:val="000000100000"/>
              <w:rPr>
                <w:sz w:val="20"/>
                <w:szCs w:val="20"/>
              </w:rPr>
            </w:pPr>
            <w:r w:rsidRPr="00E71422">
              <w:rPr>
                <w:sz w:val="20"/>
                <w:szCs w:val="20"/>
              </w:rPr>
              <w:t>0</w:t>
            </w:r>
          </w:p>
        </w:tc>
        <w:tc>
          <w:tcPr>
            <w:tcW w:w="415" w:type="pct"/>
            <w:vAlign w:val="center"/>
          </w:tcPr>
          <w:p w:rsidR="000D69F7" w:rsidRPr="00E71422" w:rsidRDefault="00BF4289" w:rsidP="00E71422">
            <w:pPr>
              <w:cnfStyle w:val="000000100000"/>
              <w:rPr>
                <w:sz w:val="20"/>
                <w:szCs w:val="20"/>
              </w:rPr>
            </w:pPr>
            <w:r w:rsidRPr="00E71422">
              <w:rPr>
                <w:sz w:val="20"/>
                <w:szCs w:val="20"/>
              </w:rPr>
              <w:t>0</w:t>
            </w:r>
          </w:p>
        </w:tc>
        <w:tc>
          <w:tcPr>
            <w:tcW w:w="326" w:type="pct"/>
            <w:vAlign w:val="center"/>
          </w:tcPr>
          <w:p w:rsidR="000D69F7" w:rsidRPr="00E71422" w:rsidRDefault="000A37CA" w:rsidP="00E71422">
            <w:pPr>
              <w:cnfStyle w:val="000000100000"/>
              <w:rPr>
                <w:sz w:val="20"/>
                <w:szCs w:val="20"/>
              </w:rPr>
            </w:pPr>
            <w:r>
              <w:rPr>
                <w:sz w:val="20"/>
                <w:szCs w:val="20"/>
              </w:rPr>
              <w:t>2,000</w:t>
            </w:r>
          </w:p>
        </w:tc>
        <w:tc>
          <w:tcPr>
            <w:tcW w:w="388" w:type="pct"/>
            <w:vAlign w:val="center"/>
          </w:tcPr>
          <w:p w:rsidR="000D69F7" w:rsidRPr="00E71422" w:rsidRDefault="000A37CA" w:rsidP="00E71422">
            <w:pPr>
              <w:ind w:right="-472"/>
              <w:cnfStyle w:val="000000100000"/>
              <w:rPr>
                <w:sz w:val="20"/>
                <w:szCs w:val="20"/>
              </w:rPr>
            </w:pPr>
            <w:r>
              <w:rPr>
                <w:sz w:val="20"/>
                <w:szCs w:val="20"/>
              </w:rPr>
              <w:t>1,500</w:t>
            </w:r>
          </w:p>
        </w:tc>
      </w:tr>
      <w:tr w:rsidR="000A37CA" w:rsidRPr="00393F07" w:rsidTr="000A37CA">
        <w:trPr>
          <w:cnfStyle w:val="000000010000"/>
          <w:trHeight w:val="322"/>
          <w:jc w:val="center"/>
        </w:trPr>
        <w:tc>
          <w:tcPr>
            <w:cnfStyle w:val="001000000000"/>
            <w:tcW w:w="718" w:type="pct"/>
            <w:vAlign w:val="center"/>
          </w:tcPr>
          <w:p w:rsidR="000D69F7" w:rsidRPr="00E71422" w:rsidRDefault="00CC4ABF" w:rsidP="00E71422">
            <w:pPr>
              <w:rPr>
                <w:sz w:val="20"/>
                <w:szCs w:val="20"/>
              </w:rPr>
            </w:pPr>
            <w:r w:rsidRPr="00E71422">
              <w:rPr>
                <w:sz w:val="20"/>
                <w:szCs w:val="20"/>
              </w:rPr>
              <w:t>Emergency Fund</w:t>
            </w:r>
          </w:p>
        </w:tc>
        <w:tc>
          <w:tcPr>
            <w:tcW w:w="466" w:type="pct"/>
            <w:vAlign w:val="center"/>
          </w:tcPr>
          <w:p w:rsidR="000D69F7" w:rsidRPr="00E71422" w:rsidRDefault="00BF4289" w:rsidP="000A37CA">
            <w:pPr>
              <w:cnfStyle w:val="000000010000"/>
              <w:rPr>
                <w:sz w:val="20"/>
                <w:szCs w:val="20"/>
              </w:rPr>
            </w:pPr>
            <w:r w:rsidRPr="00E71422">
              <w:rPr>
                <w:sz w:val="20"/>
                <w:szCs w:val="20"/>
              </w:rPr>
              <w:t>2</w:t>
            </w:r>
            <w:r w:rsidR="00363308">
              <w:rPr>
                <w:sz w:val="20"/>
                <w:szCs w:val="20"/>
              </w:rPr>
              <w:t>.5</w:t>
            </w:r>
          </w:p>
        </w:tc>
        <w:tc>
          <w:tcPr>
            <w:tcW w:w="704" w:type="pct"/>
            <w:vAlign w:val="center"/>
          </w:tcPr>
          <w:p w:rsidR="000D69F7" w:rsidRPr="00E71422" w:rsidRDefault="00363308" w:rsidP="000A37CA">
            <w:pPr>
              <w:cnfStyle w:val="000000010000"/>
              <w:rPr>
                <w:sz w:val="20"/>
                <w:szCs w:val="20"/>
              </w:rPr>
            </w:pPr>
            <w:r>
              <w:rPr>
                <w:sz w:val="20"/>
                <w:szCs w:val="20"/>
              </w:rPr>
              <w:t>August,</w:t>
            </w:r>
            <w:r w:rsidR="00BF4289" w:rsidRPr="00E71422">
              <w:rPr>
                <w:sz w:val="20"/>
                <w:szCs w:val="20"/>
              </w:rPr>
              <w:t>2017</w:t>
            </w:r>
          </w:p>
        </w:tc>
        <w:tc>
          <w:tcPr>
            <w:tcW w:w="506" w:type="pct"/>
            <w:vAlign w:val="center"/>
          </w:tcPr>
          <w:p w:rsidR="000D69F7" w:rsidRPr="00E71422" w:rsidRDefault="000A37CA" w:rsidP="00E71422">
            <w:pPr>
              <w:cnfStyle w:val="000000010000"/>
              <w:rPr>
                <w:sz w:val="20"/>
                <w:szCs w:val="20"/>
              </w:rPr>
            </w:pPr>
            <w:r>
              <w:rPr>
                <w:sz w:val="20"/>
                <w:szCs w:val="20"/>
              </w:rPr>
              <w:t>0</w:t>
            </w:r>
          </w:p>
        </w:tc>
        <w:tc>
          <w:tcPr>
            <w:tcW w:w="491" w:type="pct"/>
            <w:vAlign w:val="center"/>
          </w:tcPr>
          <w:p w:rsidR="000D69F7" w:rsidRPr="00E71422" w:rsidRDefault="000A37CA" w:rsidP="00E71422">
            <w:pPr>
              <w:cnfStyle w:val="000000010000"/>
              <w:rPr>
                <w:sz w:val="20"/>
                <w:szCs w:val="20"/>
              </w:rPr>
            </w:pPr>
            <w:r>
              <w:rPr>
                <w:sz w:val="20"/>
                <w:szCs w:val="20"/>
              </w:rPr>
              <w:t>21,500</w:t>
            </w:r>
          </w:p>
        </w:tc>
        <w:tc>
          <w:tcPr>
            <w:tcW w:w="397" w:type="pct"/>
            <w:vAlign w:val="center"/>
          </w:tcPr>
          <w:p w:rsidR="000D69F7" w:rsidRPr="00E71422" w:rsidRDefault="00FB4FCA" w:rsidP="00E71422">
            <w:pPr>
              <w:cnfStyle w:val="000000010000"/>
              <w:rPr>
                <w:sz w:val="20"/>
                <w:szCs w:val="20"/>
              </w:rPr>
            </w:pPr>
            <w:r w:rsidRPr="00E71422">
              <w:rPr>
                <w:sz w:val="20"/>
                <w:szCs w:val="20"/>
              </w:rPr>
              <w:t>0</w:t>
            </w:r>
          </w:p>
        </w:tc>
        <w:tc>
          <w:tcPr>
            <w:tcW w:w="588" w:type="pct"/>
            <w:vAlign w:val="center"/>
          </w:tcPr>
          <w:p w:rsidR="000D69F7" w:rsidRPr="00E71422" w:rsidRDefault="000A37CA" w:rsidP="00E71422">
            <w:pPr>
              <w:cnfStyle w:val="000000010000"/>
              <w:rPr>
                <w:sz w:val="20"/>
                <w:szCs w:val="20"/>
              </w:rPr>
            </w:pPr>
            <w:r>
              <w:rPr>
                <w:sz w:val="20"/>
                <w:szCs w:val="20"/>
              </w:rPr>
              <w:t>10,</w:t>
            </w:r>
            <w:r w:rsidR="0076407F">
              <w:rPr>
                <w:sz w:val="20"/>
                <w:szCs w:val="20"/>
              </w:rPr>
              <w:t>750</w:t>
            </w:r>
          </w:p>
        </w:tc>
        <w:tc>
          <w:tcPr>
            <w:tcW w:w="415" w:type="pct"/>
            <w:vAlign w:val="center"/>
          </w:tcPr>
          <w:p w:rsidR="000D69F7" w:rsidRPr="00E71422" w:rsidRDefault="0076407F" w:rsidP="00E71422">
            <w:pPr>
              <w:cnfStyle w:val="000000010000"/>
              <w:rPr>
                <w:sz w:val="20"/>
                <w:szCs w:val="20"/>
              </w:rPr>
            </w:pPr>
            <w:r>
              <w:rPr>
                <w:sz w:val="20"/>
                <w:szCs w:val="20"/>
              </w:rPr>
              <w:t>10,750</w:t>
            </w:r>
          </w:p>
        </w:tc>
        <w:tc>
          <w:tcPr>
            <w:tcW w:w="326" w:type="pct"/>
            <w:vAlign w:val="center"/>
          </w:tcPr>
          <w:p w:rsidR="000D69F7" w:rsidRPr="00E71422" w:rsidRDefault="00FB4FCA" w:rsidP="00E71422">
            <w:pPr>
              <w:cnfStyle w:val="000000010000"/>
              <w:rPr>
                <w:sz w:val="20"/>
                <w:szCs w:val="20"/>
              </w:rPr>
            </w:pPr>
            <w:r w:rsidRPr="00E71422">
              <w:rPr>
                <w:sz w:val="20"/>
                <w:szCs w:val="20"/>
              </w:rPr>
              <w:t>0</w:t>
            </w:r>
          </w:p>
        </w:tc>
        <w:tc>
          <w:tcPr>
            <w:tcW w:w="388" w:type="pct"/>
            <w:vAlign w:val="center"/>
          </w:tcPr>
          <w:p w:rsidR="000D69F7" w:rsidRPr="00E71422" w:rsidRDefault="00FB4FCA" w:rsidP="00E71422">
            <w:pPr>
              <w:cnfStyle w:val="000000010000"/>
              <w:rPr>
                <w:sz w:val="20"/>
                <w:szCs w:val="20"/>
              </w:rPr>
            </w:pPr>
            <w:r w:rsidRPr="00E71422">
              <w:rPr>
                <w:sz w:val="20"/>
                <w:szCs w:val="20"/>
              </w:rPr>
              <w:t>0</w:t>
            </w:r>
          </w:p>
        </w:tc>
      </w:tr>
      <w:tr w:rsidR="000A37CA" w:rsidRPr="00393F07" w:rsidTr="000A37CA">
        <w:trPr>
          <w:cnfStyle w:val="000000100000"/>
          <w:trHeight w:val="668"/>
          <w:jc w:val="center"/>
        </w:trPr>
        <w:tc>
          <w:tcPr>
            <w:cnfStyle w:val="001000000000"/>
            <w:tcW w:w="718" w:type="pct"/>
            <w:vAlign w:val="center"/>
          </w:tcPr>
          <w:p w:rsidR="000D69F7" w:rsidRPr="00E71422" w:rsidRDefault="00FB4FCA" w:rsidP="00E71422">
            <w:pPr>
              <w:rPr>
                <w:sz w:val="20"/>
                <w:szCs w:val="20"/>
              </w:rPr>
            </w:pPr>
            <w:r w:rsidRPr="00E71422">
              <w:rPr>
                <w:sz w:val="20"/>
                <w:szCs w:val="20"/>
              </w:rPr>
              <w:t>Down Payment for house</w:t>
            </w:r>
            <w:r w:rsidR="007514B3" w:rsidRPr="00E71422">
              <w:rPr>
                <w:sz w:val="20"/>
                <w:szCs w:val="20"/>
              </w:rPr>
              <w:t xml:space="preserve"> renovation</w:t>
            </w:r>
          </w:p>
        </w:tc>
        <w:tc>
          <w:tcPr>
            <w:tcW w:w="466" w:type="pct"/>
            <w:vAlign w:val="center"/>
          </w:tcPr>
          <w:p w:rsidR="000D69F7" w:rsidRPr="00E71422" w:rsidRDefault="00FB4FCA" w:rsidP="000A37CA">
            <w:pPr>
              <w:cnfStyle w:val="000000100000"/>
              <w:rPr>
                <w:sz w:val="20"/>
                <w:szCs w:val="20"/>
              </w:rPr>
            </w:pPr>
            <w:r w:rsidRPr="00E71422">
              <w:rPr>
                <w:sz w:val="20"/>
                <w:szCs w:val="20"/>
              </w:rPr>
              <w:t>1</w:t>
            </w:r>
            <w:r w:rsidR="00363308">
              <w:rPr>
                <w:sz w:val="20"/>
                <w:szCs w:val="20"/>
              </w:rPr>
              <w:t>.5</w:t>
            </w:r>
          </w:p>
        </w:tc>
        <w:tc>
          <w:tcPr>
            <w:tcW w:w="704" w:type="pct"/>
            <w:vAlign w:val="center"/>
          </w:tcPr>
          <w:p w:rsidR="000D69F7" w:rsidRPr="00E71422" w:rsidRDefault="00363308" w:rsidP="000A37CA">
            <w:pPr>
              <w:cnfStyle w:val="000000100000"/>
              <w:rPr>
                <w:sz w:val="20"/>
                <w:szCs w:val="20"/>
              </w:rPr>
            </w:pPr>
            <w:r>
              <w:rPr>
                <w:sz w:val="20"/>
                <w:szCs w:val="20"/>
              </w:rPr>
              <w:t>December,</w:t>
            </w:r>
            <w:r w:rsidR="00FB4FCA" w:rsidRPr="00E71422">
              <w:rPr>
                <w:sz w:val="20"/>
                <w:szCs w:val="20"/>
              </w:rPr>
              <w:t>2017</w:t>
            </w:r>
          </w:p>
        </w:tc>
        <w:tc>
          <w:tcPr>
            <w:tcW w:w="506" w:type="pct"/>
            <w:vAlign w:val="center"/>
          </w:tcPr>
          <w:p w:rsidR="000D69F7" w:rsidRPr="00E71422" w:rsidRDefault="0001653C" w:rsidP="00E71422">
            <w:pPr>
              <w:cnfStyle w:val="000000100000"/>
              <w:rPr>
                <w:sz w:val="20"/>
                <w:szCs w:val="20"/>
              </w:rPr>
            </w:pPr>
            <w:r>
              <w:rPr>
                <w:sz w:val="20"/>
                <w:szCs w:val="20"/>
              </w:rPr>
              <w:t>0</w:t>
            </w:r>
          </w:p>
        </w:tc>
        <w:tc>
          <w:tcPr>
            <w:tcW w:w="491" w:type="pct"/>
            <w:vAlign w:val="center"/>
          </w:tcPr>
          <w:p w:rsidR="000D69F7" w:rsidRPr="00E71422" w:rsidRDefault="0076407F" w:rsidP="00E71422">
            <w:pPr>
              <w:cnfStyle w:val="000000100000"/>
              <w:rPr>
                <w:sz w:val="20"/>
                <w:szCs w:val="20"/>
              </w:rPr>
            </w:pPr>
            <w:r>
              <w:rPr>
                <w:sz w:val="20"/>
                <w:szCs w:val="20"/>
              </w:rPr>
              <w:t>6,000</w:t>
            </w:r>
          </w:p>
        </w:tc>
        <w:tc>
          <w:tcPr>
            <w:tcW w:w="397" w:type="pct"/>
            <w:vAlign w:val="center"/>
          </w:tcPr>
          <w:p w:rsidR="000D69F7" w:rsidRPr="00E71422" w:rsidRDefault="00FB4FCA" w:rsidP="00E71422">
            <w:pPr>
              <w:cnfStyle w:val="000000100000"/>
              <w:rPr>
                <w:sz w:val="20"/>
                <w:szCs w:val="20"/>
              </w:rPr>
            </w:pPr>
            <w:r w:rsidRPr="00E71422">
              <w:rPr>
                <w:sz w:val="20"/>
                <w:szCs w:val="20"/>
              </w:rPr>
              <w:t>0</w:t>
            </w:r>
          </w:p>
        </w:tc>
        <w:tc>
          <w:tcPr>
            <w:tcW w:w="588" w:type="pct"/>
            <w:vAlign w:val="center"/>
          </w:tcPr>
          <w:p w:rsidR="000D69F7" w:rsidRPr="00E71422" w:rsidRDefault="0076407F" w:rsidP="00E71422">
            <w:pPr>
              <w:cnfStyle w:val="000000100000"/>
              <w:rPr>
                <w:sz w:val="20"/>
                <w:szCs w:val="20"/>
              </w:rPr>
            </w:pPr>
            <w:r>
              <w:rPr>
                <w:sz w:val="20"/>
                <w:szCs w:val="20"/>
              </w:rPr>
              <w:t>6,000</w:t>
            </w:r>
          </w:p>
        </w:tc>
        <w:tc>
          <w:tcPr>
            <w:tcW w:w="415" w:type="pct"/>
            <w:vAlign w:val="center"/>
          </w:tcPr>
          <w:p w:rsidR="000D69F7" w:rsidRPr="00E71422" w:rsidRDefault="00FB4FCA" w:rsidP="00E71422">
            <w:pPr>
              <w:cnfStyle w:val="000000100000"/>
              <w:rPr>
                <w:sz w:val="20"/>
                <w:szCs w:val="20"/>
              </w:rPr>
            </w:pPr>
            <w:r w:rsidRPr="00E71422">
              <w:rPr>
                <w:sz w:val="20"/>
                <w:szCs w:val="20"/>
              </w:rPr>
              <w:t>0</w:t>
            </w:r>
          </w:p>
        </w:tc>
        <w:tc>
          <w:tcPr>
            <w:tcW w:w="326" w:type="pct"/>
            <w:vAlign w:val="center"/>
          </w:tcPr>
          <w:p w:rsidR="000D69F7" w:rsidRPr="00E71422" w:rsidRDefault="00FB4FCA" w:rsidP="00E71422">
            <w:pPr>
              <w:cnfStyle w:val="000000100000"/>
              <w:rPr>
                <w:sz w:val="20"/>
                <w:szCs w:val="20"/>
              </w:rPr>
            </w:pPr>
            <w:r w:rsidRPr="00E71422">
              <w:rPr>
                <w:sz w:val="20"/>
                <w:szCs w:val="20"/>
              </w:rPr>
              <w:t>0</w:t>
            </w:r>
          </w:p>
        </w:tc>
        <w:tc>
          <w:tcPr>
            <w:tcW w:w="388" w:type="pct"/>
            <w:vAlign w:val="center"/>
          </w:tcPr>
          <w:p w:rsidR="000D69F7" w:rsidRPr="00E71422" w:rsidRDefault="00FB4FCA" w:rsidP="00E71422">
            <w:pPr>
              <w:cnfStyle w:val="000000100000"/>
              <w:rPr>
                <w:sz w:val="20"/>
                <w:szCs w:val="20"/>
              </w:rPr>
            </w:pPr>
            <w:r w:rsidRPr="00E71422">
              <w:rPr>
                <w:sz w:val="20"/>
                <w:szCs w:val="20"/>
              </w:rPr>
              <w:t>0</w:t>
            </w:r>
          </w:p>
        </w:tc>
      </w:tr>
      <w:tr w:rsidR="000A37CA" w:rsidRPr="00393F07" w:rsidTr="000A37CA">
        <w:trPr>
          <w:cnfStyle w:val="000000010000"/>
          <w:trHeight w:val="668"/>
          <w:jc w:val="center"/>
        </w:trPr>
        <w:tc>
          <w:tcPr>
            <w:cnfStyle w:val="001000000000"/>
            <w:tcW w:w="718" w:type="pct"/>
            <w:vAlign w:val="center"/>
          </w:tcPr>
          <w:p w:rsidR="000D69F7" w:rsidRPr="00E71422" w:rsidRDefault="00FB4FCA" w:rsidP="00E71422">
            <w:pPr>
              <w:rPr>
                <w:sz w:val="20"/>
                <w:szCs w:val="20"/>
              </w:rPr>
            </w:pPr>
            <w:r w:rsidRPr="00E71422">
              <w:rPr>
                <w:sz w:val="20"/>
                <w:szCs w:val="20"/>
              </w:rPr>
              <w:t>Down payment for car</w:t>
            </w:r>
          </w:p>
        </w:tc>
        <w:tc>
          <w:tcPr>
            <w:tcW w:w="466" w:type="pct"/>
            <w:vAlign w:val="center"/>
          </w:tcPr>
          <w:p w:rsidR="000D69F7" w:rsidRPr="00E71422" w:rsidRDefault="00FB4FCA" w:rsidP="000A37CA">
            <w:pPr>
              <w:cnfStyle w:val="000000010000"/>
              <w:rPr>
                <w:sz w:val="20"/>
                <w:szCs w:val="20"/>
              </w:rPr>
            </w:pPr>
            <w:r w:rsidRPr="00E71422">
              <w:rPr>
                <w:sz w:val="20"/>
                <w:szCs w:val="20"/>
              </w:rPr>
              <w:t>2</w:t>
            </w:r>
          </w:p>
        </w:tc>
        <w:tc>
          <w:tcPr>
            <w:tcW w:w="704" w:type="pct"/>
            <w:vAlign w:val="center"/>
          </w:tcPr>
          <w:p w:rsidR="000D69F7" w:rsidRPr="00E71422" w:rsidRDefault="00363308" w:rsidP="000A37CA">
            <w:pPr>
              <w:cnfStyle w:val="000000010000"/>
              <w:rPr>
                <w:sz w:val="20"/>
                <w:szCs w:val="20"/>
              </w:rPr>
            </w:pPr>
            <w:r>
              <w:rPr>
                <w:sz w:val="20"/>
                <w:szCs w:val="20"/>
              </w:rPr>
              <w:t>December,</w:t>
            </w:r>
            <w:r w:rsidR="00FB4FCA" w:rsidRPr="00E71422">
              <w:rPr>
                <w:sz w:val="20"/>
                <w:szCs w:val="20"/>
              </w:rPr>
              <w:t>2018</w:t>
            </w:r>
          </w:p>
        </w:tc>
        <w:tc>
          <w:tcPr>
            <w:tcW w:w="506" w:type="pct"/>
            <w:vAlign w:val="center"/>
          </w:tcPr>
          <w:p w:rsidR="000D69F7" w:rsidRPr="00E71422" w:rsidRDefault="0001653C" w:rsidP="00E71422">
            <w:pPr>
              <w:cnfStyle w:val="000000010000"/>
              <w:rPr>
                <w:sz w:val="20"/>
                <w:szCs w:val="20"/>
              </w:rPr>
            </w:pPr>
            <w:r>
              <w:rPr>
                <w:sz w:val="20"/>
                <w:szCs w:val="20"/>
              </w:rPr>
              <w:t>0</w:t>
            </w:r>
          </w:p>
        </w:tc>
        <w:tc>
          <w:tcPr>
            <w:tcW w:w="491" w:type="pct"/>
            <w:vAlign w:val="center"/>
          </w:tcPr>
          <w:p w:rsidR="000D69F7" w:rsidRPr="00E71422" w:rsidRDefault="00FB4FCA" w:rsidP="00E71422">
            <w:pPr>
              <w:cnfStyle w:val="000000010000"/>
              <w:rPr>
                <w:sz w:val="20"/>
                <w:szCs w:val="20"/>
              </w:rPr>
            </w:pPr>
            <w:r w:rsidRPr="00E71422">
              <w:rPr>
                <w:sz w:val="20"/>
                <w:szCs w:val="20"/>
              </w:rPr>
              <w:t>0</w:t>
            </w:r>
          </w:p>
        </w:tc>
        <w:tc>
          <w:tcPr>
            <w:tcW w:w="397" w:type="pct"/>
            <w:vAlign w:val="center"/>
          </w:tcPr>
          <w:p w:rsidR="000D69F7" w:rsidRPr="00E71422" w:rsidRDefault="00FB4FCA" w:rsidP="00E71422">
            <w:pPr>
              <w:cnfStyle w:val="000000010000"/>
              <w:rPr>
                <w:sz w:val="20"/>
                <w:szCs w:val="20"/>
              </w:rPr>
            </w:pPr>
            <w:r w:rsidRPr="00E71422">
              <w:rPr>
                <w:sz w:val="20"/>
                <w:szCs w:val="20"/>
              </w:rPr>
              <w:t>0</w:t>
            </w:r>
          </w:p>
        </w:tc>
        <w:tc>
          <w:tcPr>
            <w:tcW w:w="588" w:type="pct"/>
            <w:vAlign w:val="center"/>
          </w:tcPr>
          <w:p w:rsidR="000D69F7" w:rsidRPr="00E71422" w:rsidRDefault="00FB4FCA" w:rsidP="00E71422">
            <w:pPr>
              <w:cnfStyle w:val="000000010000"/>
              <w:rPr>
                <w:sz w:val="20"/>
                <w:szCs w:val="20"/>
              </w:rPr>
            </w:pPr>
            <w:r w:rsidRPr="00E71422">
              <w:rPr>
                <w:sz w:val="20"/>
                <w:szCs w:val="20"/>
              </w:rPr>
              <w:t>0</w:t>
            </w:r>
          </w:p>
        </w:tc>
        <w:tc>
          <w:tcPr>
            <w:tcW w:w="415" w:type="pct"/>
            <w:vAlign w:val="center"/>
          </w:tcPr>
          <w:p w:rsidR="000D69F7" w:rsidRPr="00E71422" w:rsidRDefault="00FB4FCA" w:rsidP="00E71422">
            <w:pPr>
              <w:cnfStyle w:val="000000010000"/>
              <w:rPr>
                <w:sz w:val="20"/>
                <w:szCs w:val="20"/>
              </w:rPr>
            </w:pPr>
            <w:r w:rsidRPr="00E71422">
              <w:rPr>
                <w:sz w:val="20"/>
                <w:szCs w:val="20"/>
              </w:rPr>
              <w:t>0</w:t>
            </w:r>
          </w:p>
        </w:tc>
        <w:tc>
          <w:tcPr>
            <w:tcW w:w="326" w:type="pct"/>
            <w:vAlign w:val="center"/>
          </w:tcPr>
          <w:p w:rsidR="000D69F7" w:rsidRPr="00E71422" w:rsidRDefault="00FB4FCA" w:rsidP="00E71422">
            <w:pPr>
              <w:cnfStyle w:val="000000010000"/>
              <w:rPr>
                <w:sz w:val="20"/>
                <w:szCs w:val="20"/>
              </w:rPr>
            </w:pPr>
            <w:r w:rsidRPr="00E71422">
              <w:rPr>
                <w:sz w:val="20"/>
                <w:szCs w:val="20"/>
              </w:rPr>
              <w:t>0</w:t>
            </w:r>
          </w:p>
        </w:tc>
        <w:tc>
          <w:tcPr>
            <w:tcW w:w="388" w:type="pct"/>
            <w:vAlign w:val="center"/>
          </w:tcPr>
          <w:p w:rsidR="000D69F7" w:rsidRPr="00E71422" w:rsidRDefault="00FB4FCA" w:rsidP="00E71422">
            <w:pPr>
              <w:cnfStyle w:val="000000010000"/>
              <w:rPr>
                <w:sz w:val="20"/>
                <w:szCs w:val="20"/>
              </w:rPr>
            </w:pPr>
            <w:r w:rsidRPr="00E71422">
              <w:rPr>
                <w:sz w:val="20"/>
                <w:szCs w:val="20"/>
              </w:rPr>
              <w:t>0</w:t>
            </w:r>
          </w:p>
        </w:tc>
      </w:tr>
      <w:tr w:rsidR="000A37CA" w:rsidRPr="00393F07" w:rsidTr="000A37CA">
        <w:trPr>
          <w:cnfStyle w:val="000000100000"/>
          <w:trHeight w:val="347"/>
          <w:jc w:val="center"/>
        </w:trPr>
        <w:tc>
          <w:tcPr>
            <w:cnfStyle w:val="001000000000"/>
            <w:tcW w:w="718" w:type="pct"/>
            <w:vAlign w:val="center"/>
          </w:tcPr>
          <w:p w:rsidR="000D69F7" w:rsidRPr="00E71422" w:rsidRDefault="00FB4FCA" w:rsidP="00E71422">
            <w:pPr>
              <w:rPr>
                <w:sz w:val="20"/>
                <w:szCs w:val="20"/>
              </w:rPr>
            </w:pPr>
            <w:r w:rsidRPr="00E71422">
              <w:rPr>
                <w:sz w:val="20"/>
                <w:szCs w:val="20"/>
              </w:rPr>
              <w:t>Wedding</w:t>
            </w:r>
          </w:p>
        </w:tc>
        <w:tc>
          <w:tcPr>
            <w:tcW w:w="466" w:type="pct"/>
            <w:vAlign w:val="center"/>
          </w:tcPr>
          <w:p w:rsidR="000D69F7" w:rsidRPr="00E71422" w:rsidRDefault="00FB4FCA" w:rsidP="000A37CA">
            <w:pPr>
              <w:cnfStyle w:val="000000100000"/>
              <w:rPr>
                <w:sz w:val="20"/>
                <w:szCs w:val="20"/>
              </w:rPr>
            </w:pPr>
            <w:r w:rsidRPr="00E71422">
              <w:rPr>
                <w:sz w:val="20"/>
                <w:szCs w:val="20"/>
              </w:rPr>
              <w:t>15</w:t>
            </w:r>
          </w:p>
        </w:tc>
        <w:tc>
          <w:tcPr>
            <w:tcW w:w="704" w:type="pct"/>
            <w:vAlign w:val="center"/>
          </w:tcPr>
          <w:p w:rsidR="000D69F7" w:rsidRPr="00E71422" w:rsidRDefault="00363308" w:rsidP="000A37CA">
            <w:pPr>
              <w:cnfStyle w:val="000000100000"/>
              <w:rPr>
                <w:sz w:val="20"/>
                <w:szCs w:val="20"/>
              </w:rPr>
            </w:pPr>
            <w:r>
              <w:rPr>
                <w:sz w:val="20"/>
                <w:szCs w:val="20"/>
              </w:rPr>
              <w:t>December,</w:t>
            </w:r>
            <w:r w:rsidR="00FB4FCA" w:rsidRPr="00E71422">
              <w:rPr>
                <w:sz w:val="20"/>
                <w:szCs w:val="20"/>
              </w:rPr>
              <w:t>2018</w:t>
            </w:r>
          </w:p>
        </w:tc>
        <w:tc>
          <w:tcPr>
            <w:tcW w:w="506" w:type="pct"/>
            <w:vAlign w:val="center"/>
          </w:tcPr>
          <w:p w:rsidR="000D69F7" w:rsidRPr="00E71422" w:rsidRDefault="0001653C" w:rsidP="00E71422">
            <w:pPr>
              <w:cnfStyle w:val="000000100000"/>
              <w:rPr>
                <w:sz w:val="20"/>
                <w:szCs w:val="20"/>
              </w:rPr>
            </w:pPr>
            <w:r>
              <w:rPr>
                <w:sz w:val="20"/>
                <w:szCs w:val="20"/>
              </w:rPr>
              <w:t>0</w:t>
            </w:r>
          </w:p>
        </w:tc>
        <w:tc>
          <w:tcPr>
            <w:tcW w:w="491" w:type="pct"/>
            <w:vAlign w:val="center"/>
          </w:tcPr>
          <w:p w:rsidR="000D69F7" w:rsidRPr="00E71422" w:rsidRDefault="00FB4FCA" w:rsidP="00E71422">
            <w:pPr>
              <w:cnfStyle w:val="000000100000"/>
              <w:rPr>
                <w:sz w:val="20"/>
                <w:szCs w:val="20"/>
              </w:rPr>
            </w:pPr>
            <w:r w:rsidRPr="00E71422">
              <w:rPr>
                <w:sz w:val="20"/>
                <w:szCs w:val="20"/>
              </w:rPr>
              <w:t>0</w:t>
            </w:r>
          </w:p>
        </w:tc>
        <w:tc>
          <w:tcPr>
            <w:tcW w:w="397" w:type="pct"/>
            <w:vAlign w:val="center"/>
          </w:tcPr>
          <w:p w:rsidR="000D69F7" w:rsidRPr="00E71422" w:rsidRDefault="00FB4FCA" w:rsidP="00E71422">
            <w:pPr>
              <w:cnfStyle w:val="000000100000"/>
              <w:rPr>
                <w:sz w:val="20"/>
                <w:szCs w:val="20"/>
              </w:rPr>
            </w:pPr>
            <w:r w:rsidRPr="00E71422">
              <w:rPr>
                <w:sz w:val="20"/>
                <w:szCs w:val="20"/>
              </w:rPr>
              <w:t>0</w:t>
            </w:r>
          </w:p>
        </w:tc>
        <w:tc>
          <w:tcPr>
            <w:tcW w:w="588" w:type="pct"/>
            <w:vAlign w:val="center"/>
          </w:tcPr>
          <w:p w:rsidR="000D69F7" w:rsidRPr="00E71422" w:rsidRDefault="00FB4FCA" w:rsidP="00E71422">
            <w:pPr>
              <w:cnfStyle w:val="000000100000"/>
              <w:rPr>
                <w:sz w:val="20"/>
                <w:szCs w:val="20"/>
              </w:rPr>
            </w:pPr>
            <w:r w:rsidRPr="00E71422">
              <w:rPr>
                <w:sz w:val="20"/>
                <w:szCs w:val="20"/>
              </w:rPr>
              <w:t>0</w:t>
            </w:r>
          </w:p>
        </w:tc>
        <w:tc>
          <w:tcPr>
            <w:tcW w:w="415" w:type="pct"/>
            <w:vAlign w:val="center"/>
          </w:tcPr>
          <w:p w:rsidR="000D69F7" w:rsidRPr="00E71422" w:rsidRDefault="00FB4FCA" w:rsidP="00E71422">
            <w:pPr>
              <w:cnfStyle w:val="000000100000"/>
              <w:rPr>
                <w:sz w:val="20"/>
                <w:szCs w:val="20"/>
              </w:rPr>
            </w:pPr>
            <w:r w:rsidRPr="00E71422">
              <w:rPr>
                <w:sz w:val="20"/>
                <w:szCs w:val="20"/>
              </w:rPr>
              <w:t>0</w:t>
            </w:r>
          </w:p>
        </w:tc>
        <w:tc>
          <w:tcPr>
            <w:tcW w:w="326" w:type="pct"/>
            <w:vAlign w:val="center"/>
          </w:tcPr>
          <w:p w:rsidR="000D69F7" w:rsidRPr="00E71422" w:rsidRDefault="00FB4FCA" w:rsidP="00E71422">
            <w:pPr>
              <w:cnfStyle w:val="000000100000"/>
              <w:rPr>
                <w:sz w:val="20"/>
                <w:szCs w:val="20"/>
              </w:rPr>
            </w:pPr>
            <w:r w:rsidRPr="00E71422">
              <w:rPr>
                <w:sz w:val="20"/>
                <w:szCs w:val="20"/>
              </w:rPr>
              <w:t>0</w:t>
            </w:r>
          </w:p>
        </w:tc>
        <w:tc>
          <w:tcPr>
            <w:tcW w:w="388" w:type="pct"/>
            <w:vAlign w:val="center"/>
          </w:tcPr>
          <w:p w:rsidR="000D69F7" w:rsidRPr="00E71422" w:rsidRDefault="00FB4FCA" w:rsidP="00E71422">
            <w:pPr>
              <w:cnfStyle w:val="000000100000"/>
              <w:rPr>
                <w:sz w:val="20"/>
                <w:szCs w:val="20"/>
              </w:rPr>
            </w:pPr>
            <w:r w:rsidRPr="00E71422">
              <w:rPr>
                <w:sz w:val="20"/>
                <w:szCs w:val="20"/>
              </w:rPr>
              <w:t>0</w:t>
            </w:r>
          </w:p>
        </w:tc>
      </w:tr>
    </w:tbl>
    <w:p w:rsidR="00F73C1E" w:rsidRDefault="00F73C1E" w:rsidP="006F2D0E">
      <w:pPr>
        <w:tabs>
          <w:tab w:val="left" w:pos="3519"/>
        </w:tabs>
      </w:pPr>
    </w:p>
    <w:p w:rsidR="00784633" w:rsidRDefault="00784633" w:rsidP="00E32F6E">
      <w:pPr>
        <w:tabs>
          <w:tab w:val="left" w:pos="3519"/>
        </w:tabs>
      </w:pPr>
    </w:p>
    <w:p w:rsidR="00784633" w:rsidRDefault="00784633" w:rsidP="00E32F6E">
      <w:pPr>
        <w:tabs>
          <w:tab w:val="left" w:pos="3519"/>
        </w:tabs>
      </w:pPr>
    </w:p>
    <w:p w:rsidR="00784633" w:rsidRDefault="00784633" w:rsidP="00E32F6E">
      <w:pPr>
        <w:tabs>
          <w:tab w:val="left" w:pos="3519"/>
        </w:tabs>
      </w:pPr>
    </w:p>
    <w:p w:rsidR="00784633" w:rsidRDefault="00784633" w:rsidP="00E32F6E">
      <w:pPr>
        <w:tabs>
          <w:tab w:val="left" w:pos="3519"/>
        </w:tabs>
      </w:pPr>
    </w:p>
    <w:p w:rsidR="00784633" w:rsidRDefault="00784633" w:rsidP="00E32F6E">
      <w:pPr>
        <w:tabs>
          <w:tab w:val="left" w:pos="3519"/>
        </w:tabs>
      </w:pPr>
    </w:p>
    <w:p w:rsidR="00784633" w:rsidRDefault="00784633" w:rsidP="00E32F6E">
      <w:pPr>
        <w:tabs>
          <w:tab w:val="left" w:pos="3519"/>
        </w:tabs>
      </w:pPr>
    </w:p>
    <w:p w:rsidR="00784633" w:rsidRDefault="00784633" w:rsidP="00E32F6E">
      <w:pPr>
        <w:tabs>
          <w:tab w:val="left" w:pos="3519"/>
        </w:tabs>
      </w:pPr>
    </w:p>
    <w:p w:rsidR="00784633" w:rsidRDefault="00784633" w:rsidP="00E32F6E">
      <w:pPr>
        <w:tabs>
          <w:tab w:val="left" w:pos="3519"/>
        </w:tabs>
      </w:pPr>
    </w:p>
    <w:p w:rsidR="00784633" w:rsidRDefault="00784633" w:rsidP="00E32F6E">
      <w:pPr>
        <w:tabs>
          <w:tab w:val="left" w:pos="3519"/>
        </w:tabs>
      </w:pPr>
    </w:p>
    <w:p w:rsidR="004D0A93" w:rsidRDefault="004D0A93" w:rsidP="004D0A93">
      <w:pPr>
        <w:tabs>
          <w:tab w:val="left" w:pos="3519"/>
        </w:tabs>
      </w:pPr>
      <w:r>
        <w:t>Now, below is the list of funds that you should consider investing in order to achieve the desired financial goals. Therefo</w:t>
      </w:r>
      <w:r w:rsidR="00B77F98">
        <w:t>re, you need to invest Rs. 4,000</w:t>
      </w:r>
      <w:r>
        <w:t xml:space="preserve"> in one or more equity fund</w:t>
      </w:r>
      <w:r w:rsidR="00B77F98">
        <w:t>s mentioned below and Rs. 16,750</w:t>
      </w:r>
      <w:r>
        <w:t xml:space="preserve"> in one or more debt or hybrid funds mentioned below.</w:t>
      </w:r>
      <w:r w:rsidR="00B77F98">
        <w:t xml:space="preserve"> Moreover, we strictly advice you to invest through monthly SIPs as this way you would not only be able to invest on a regular basis but also it would diversify the risk associated. </w:t>
      </w:r>
    </w:p>
    <w:tbl>
      <w:tblPr>
        <w:tblStyle w:val="TableGrid"/>
        <w:tblW w:w="0" w:type="auto"/>
        <w:jc w:val="center"/>
        <w:tblLook w:val="04A0"/>
      </w:tblPr>
      <w:tblGrid>
        <w:gridCol w:w="3080"/>
        <w:gridCol w:w="3081"/>
        <w:gridCol w:w="3081"/>
      </w:tblGrid>
      <w:tr w:rsidR="004D0A93" w:rsidTr="007D0161">
        <w:trPr>
          <w:jc w:val="center"/>
        </w:trPr>
        <w:tc>
          <w:tcPr>
            <w:tcW w:w="3080" w:type="dxa"/>
          </w:tcPr>
          <w:p w:rsidR="004D0A93" w:rsidRDefault="004D0A93" w:rsidP="007D0161">
            <w:pPr>
              <w:tabs>
                <w:tab w:val="left" w:pos="3519"/>
              </w:tabs>
              <w:jc w:val="center"/>
            </w:pPr>
            <w:r>
              <w:t>Asset Class</w:t>
            </w:r>
          </w:p>
        </w:tc>
        <w:tc>
          <w:tcPr>
            <w:tcW w:w="3081" w:type="dxa"/>
          </w:tcPr>
          <w:p w:rsidR="004D0A93" w:rsidRDefault="003200AF" w:rsidP="007D0161">
            <w:pPr>
              <w:tabs>
                <w:tab w:val="left" w:pos="3519"/>
              </w:tabs>
              <w:jc w:val="center"/>
            </w:pPr>
            <w:r>
              <w:t>Total investment</w:t>
            </w:r>
            <w:r w:rsidR="004D0A93">
              <w:t xml:space="preserve"> amount</w:t>
            </w:r>
          </w:p>
        </w:tc>
        <w:tc>
          <w:tcPr>
            <w:tcW w:w="3081" w:type="dxa"/>
          </w:tcPr>
          <w:p w:rsidR="004D0A93" w:rsidRDefault="004D0A93" w:rsidP="007D0161">
            <w:pPr>
              <w:tabs>
                <w:tab w:val="left" w:pos="3519"/>
              </w:tabs>
              <w:jc w:val="center"/>
            </w:pPr>
            <w:r>
              <w:t>Name of the funds</w:t>
            </w:r>
          </w:p>
        </w:tc>
      </w:tr>
      <w:tr w:rsidR="004D0A93" w:rsidTr="007D0161">
        <w:trPr>
          <w:jc w:val="center"/>
        </w:trPr>
        <w:tc>
          <w:tcPr>
            <w:tcW w:w="3080" w:type="dxa"/>
          </w:tcPr>
          <w:p w:rsidR="004D0A93" w:rsidRDefault="004D0A93" w:rsidP="007D0161">
            <w:pPr>
              <w:tabs>
                <w:tab w:val="left" w:pos="3519"/>
              </w:tabs>
              <w:jc w:val="center"/>
            </w:pPr>
            <w:r>
              <w:t>Equity Mutual Fund</w:t>
            </w:r>
          </w:p>
        </w:tc>
        <w:tc>
          <w:tcPr>
            <w:tcW w:w="3081" w:type="dxa"/>
          </w:tcPr>
          <w:p w:rsidR="004D0A93" w:rsidRDefault="004D0A93" w:rsidP="007D0161">
            <w:pPr>
              <w:tabs>
                <w:tab w:val="left" w:pos="3519"/>
              </w:tabs>
              <w:jc w:val="center"/>
            </w:pPr>
            <w:r>
              <w:t>4,000</w:t>
            </w:r>
          </w:p>
        </w:tc>
        <w:tc>
          <w:tcPr>
            <w:tcW w:w="3081" w:type="dxa"/>
          </w:tcPr>
          <w:p w:rsidR="004D0A93" w:rsidRPr="00E0590F" w:rsidRDefault="004D0A93" w:rsidP="007D0161">
            <w:pPr>
              <w:pStyle w:val="ListParagraph"/>
              <w:numPr>
                <w:ilvl w:val="0"/>
                <w:numId w:val="1"/>
              </w:numPr>
              <w:rPr>
                <w:rFonts w:ascii="Calibri" w:hAnsi="Calibri"/>
                <w:color w:val="000000"/>
              </w:rPr>
            </w:pPr>
            <w:r w:rsidRPr="00E0590F">
              <w:rPr>
                <w:rFonts w:ascii="Calibri" w:hAnsi="Calibri"/>
                <w:color w:val="000000"/>
              </w:rPr>
              <w:t>HDFC Mid-Cap Opportunities Fund - Direct Plan</w:t>
            </w:r>
          </w:p>
          <w:p w:rsidR="004D0A93" w:rsidRPr="00E0590F" w:rsidRDefault="004D0A93" w:rsidP="007D0161">
            <w:pPr>
              <w:pStyle w:val="ListParagraph"/>
              <w:numPr>
                <w:ilvl w:val="0"/>
                <w:numId w:val="1"/>
              </w:numPr>
              <w:rPr>
                <w:rFonts w:ascii="Calibri" w:hAnsi="Calibri"/>
                <w:color w:val="000000"/>
              </w:rPr>
            </w:pPr>
            <w:r w:rsidRPr="00E0590F">
              <w:rPr>
                <w:rFonts w:ascii="Calibri" w:hAnsi="Calibri"/>
                <w:color w:val="000000"/>
              </w:rPr>
              <w:t>Birla Sun Life Top 100 Fund - Direct Plan</w:t>
            </w:r>
          </w:p>
        </w:tc>
      </w:tr>
      <w:tr w:rsidR="004D0A93" w:rsidTr="007D0161">
        <w:trPr>
          <w:jc w:val="center"/>
        </w:trPr>
        <w:tc>
          <w:tcPr>
            <w:tcW w:w="3080" w:type="dxa"/>
          </w:tcPr>
          <w:p w:rsidR="004D0A93" w:rsidRDefault="004D0A93" w:rsidP="007D0161">
            <w:pPr>
              <w:tabs>
                <w:tab w:val="left" w:pos="3519"/>
              </w:tabs>
              <w:jc w:val="center"/>
            </w:pPr>
            <w:r>
              <w:t>Debt/ Hybrid Funds</w:t>
            </w:r>
          </w:p>
        </w:tc>
        <w:tc>
          <w:tcPr>
            <w:tcW w:w="3081" w:type="dxa"/>
          </w:tcPr>
          <w:p w:rsidR="004D0A93" w:rsidRDefault="004D0A93" w:rsidP="007D0161">
            <w:pPr>
              <w:tabs>
                <w:tab w:val="left" w:pos="3519"/>
              </w:tabs>
              <w:jc w:val="center"/>
            </w:pPr>
            <w:r>
              <w:t>16,750</w:t>
            </w:r>
          </w:p>
        </w:tc>
        <w:tc>
          <w:tcPr>
            <w:tcW w:w="3081" w:type="dxa"/>
          </w:tcPr>
          <w:p w:rsidR="004D0A93" w:rsidRPr="00502E31" w:rsidRDefault="004D0A93" w:rsidP="007D0161">
            <w:pPr>
              <w:pStyle w:val="ListParagraph"/>
              <w:numPr>
                <w:ilvl w:val="0"/>
                <w:numId w:val="2"/>
              </w:numPr>
              <w:rPr>
                <w:rFonts w:ascii="Calibri" w:hAnsi="Calibri"/>
                <w:color w:val="000000"/>
              </w:rPr>
            </w:pPr>
            <w:r w:rsidRPr="00502E31">
              <w:rPr>
                <w:rFonts w:ascii="Calibri" w:hAnsi="Calibri"/>
                <w:color w:val="000000"/>
              </w:rPr>
              <w:t>Franklin India Government Securities Fund - Composite Plan - Direct Plan</w:t>
            </w:r>
          </w:p>
          <w:p w:rsidR="004D0A93" w:rsidRPr="00502E31" w:rsidRDefault="004D0A93" w:rsidP="007D0161">
            <w:pPr>
              <w:pStyle w:val="ListParagraph"/>
              <w:numPr>
                <w:ilvl w:val="0"/>
                <w:numId w:val="2"/>
              </w:numPr>
              <w:rPr>
                <w:rFonts w:ascii="Calibri" w:hAnsi="Calibri"/>
                <w:color w:val="000000"/>
              </w:rPr>
            </w:pPr>
            <w:r w:rsidRPr="00502E31">
              <w:rPr>
                <w:rFonts w:ascii="Calibri" w:hAnsi="Calibri"/>
                <w:color w:val="000000"/>
              </w:rPr>
              <w:t>HDFC Gilt Fund - Long Term Plan - Direct Plan</w:t>
            </w:r>
          </w:p>
          <w:p w:rsidR="004D0A93" w:rsidRPr="00502E31" w:rsidRDefault="004D0A93" w:rsidP="007D0161">
            <w:pPr>
              <w:pStyle w:val="ListParagraph"/>
              <w:numPr>
                <w:ilvl w:val="0"/>
                <w:numId w:val="2"/>
              </w:numPr>
              <w:rPr>
                <w:rFonts w:ascii="Calibri" w:hAnsi="Calibri"/>
                <w:color w:val="000000"/>
              </w:rPr>
            </w:pPr>
            <w:r w:rsidRPr="00502E31">
              <w:rPr>
                <w:rFonts w:ascii="Calibri" w:hAnsi="Calibri"/>
                <w:color w:val="000000"/>
              </w:rPr>
              <w:t>HDFC Balanced Fund</w:t>
            </w:r>
          </w:p>
        </w:tc>
      </w:tr>
      <w:tr w:rsidR="004D0A93" w:rsidTr="007D0161">
        <w:trPr>
          <w:jc w:val="center"/>
        </w:trPr>
        <w:tc>
          <w:tcPr>
            <w:tcW w:w="3080" w:type="dxa"/>
          </w:tcPr>
          <w:p w:rsidR="004D0A93" w:rsidRDefault="004D0A93" w:rsidP="007D0161">
            <w:pPr>
              <w:tabs>
                <w:tab w:val="left" w:pos="3519"/>
              </w:tabs>
              <w:jc w:val="center"/>
            </w:pPr>
            <w:r>
              <w:t>Public Provident Fund</w:t>
            </w:r>
          </w:p>
        </w:tc>
        <w:tc>
          <w:tcPr>
            <w:tcW w:w="3081" w:type="dxa"/>
          </w:tcPr>
          <w:p w:rsidR="004D0A93" w:rsidRDefault="004D0A93" w:rsidP="007D0161">
            <w:pPr>
              <w:tabs>
                <w:tab w:val="left" w:pos="3519"/>
              </w:tabs>
              <w:jc w:val="center"/>
            </w:pPr>
            <w:r>
              <w:t>2,000</w:t>
            </w:r>
          </w:p>
        </w:tc>
        <w:tc>
          <w:tcPr>
            <w:tcW w:w="3081" w:type="dxa"/>
          </w:tcPr>
          <w:p w:rsidR="004D0A93" w:rsidRDefault="004D0A93" w:rsidP="007D0161">
            <w:pPr>
              <w:tabs>
                <w:tab w:val="left" w:pos="3519"/>
              </w:tabs>
              <w:jc w:val="center"/>
            </w:pPr>
            <w:r>
              <w:t>-</w:t>
            </w:r>
          </w:p>
        </w:tc>
      </w:tr>
      <w:tr w:rsidR="004D0A93" w:rsidTr="007D0161">
        <w:trPr>
          <w:jc w:val="center"/>
        </w:trPr>
        <w:tc>
          <w:tcPr>
            <w:tcW w:w="3080" w:type="dxa"/>
          </w:tcPr>
          <w:p w:rsidR="004D0A93" w:rsidRDefault="004D0A93" w:rsidP="007D0161">
            <w:pPr>
              <w:tabs>
                <w:tab w:val="left" w:pos="3519"/>
              </w:tabs>
              <w:jc w:val="center"/>
            </w:pPr>
            <w:r>
              <w:t>Savings Account</w:t>
            </w:r>
          </w:p>
        </w:tc>
        <w:tc>
          <w:tcPr>
            <w:tcW w:w="3081" w:type="dxa"/>
          </w:tcPr>
          <w:p w:rsidR="004D0A93" w:rsidRDefault="004D0A93" w:rsidP="007D0161">
            <w:pPr>
              <w:tabs>
                <w:tab w:val="left" w:pos="3519"/>
              </w:tabs>
              <w:jc w:val="center"/>
            </w:pPr>
            <w:r>
              <w:t>10,750</w:t>
            </w:r>
          </w:p>
        </w:tc>
        <w:tc>
          <w:tcPr>
            <w:tcW w:w="3081" w:type="dxa"/>
          </w:tcPr>
          <w:p w:rsidR="004D0A93" w:rsidRDefault="004D0A93" w:rsidP="007D0161">
            <w:pPr>
              <w:pStyle w:val="ListParagraph"/>
              <w:numPr>
                <w:ilvl w:val="0"/>
                <w:numId w:val="3"/>
              </w:numPr>
              <w:tabs>
                <w:tab w:val="left" w:pos="3519"/>
              </w:tabs>
            </w:pPr>
            <w:r>
              <w:t>Kotak Mahindra Bank</w:t>
            </w:r>
          </w:p>
          <w:p w:rsidR="004D0A93" w:rsidRDefault="004D0A93" w:rsidP="007D0161">
            <w:pPr>
              <w:pStyle w:val="ListParagraph"/>
              <w:numPr>
                <w:ilvl w:val="0"/>
                <w:numId w:val="3"/>
              </w:numPr>
              <w:tabs>
                <w:tab w:val="left" w:pos="3519"/>
              </w:tabs>
            </w:pPr>
            <w:r>
              <w:t>Yes Bank</w:t>
            </w:r>
          </w:p>
        </w:tc>
      </w:tr>
      <w:tr w:rsidR="004D0A93" w:rsidTr="007D0161">
        <w:trPr>
          <w:jc w:val="center"/>
        </w:trPr>
        <w:tc>
          <w:tcPr>
            <w:tcW w:w="3080" w:type="dxa"/>
          </w:tcPr>
          <w:p w:rsidR="004D0A93" w:rsidRDefault="004D0A93" w:rsidP="007D0161">
            <w:pPr>
              <w:tabs>
                <w:tab w:val="left" w:pos="3519"/>
              </w:tabs>
              <w:jc w:val="center"/>
            </w:pPr>
            <w:r>
              <w:t>National Pension Scheme</w:t>
            </w:r>
          </w:p>
        </w:tc>
        <w:tc>
          <w:tcPr>
            <w:tcW w:w="3081" w:type="dxa"/>
          </w:tcPr>
          <w:p w:rsidR="004D0A93" w:rsidRDefault="004D0A93" w:rsidP="007D0161">
            <w:pPr>
              <w:tabs>
                <w:tab w:val="left" w:pos="3519"/>
              </w:tabs>
              <w:jc w:val="center"/>
            </w:pPr>
            <w:r>
              <w:t>1,000</w:t>
            </w:r>
          </w:p>
        </w:tc>
        <w:tc>
          <w:tcPr>
            <w:tcW w:w="3081" w:type="dxa"/>
          </w:tcPr>
          <w:p w:rsidR="004D0A93" w:rsidRDefault="00B77F98" w:rsidP="00B77F98">
            <w:pPr>
              <w:tabs>
                <w:tab w:val="left" w:pos="3519"/>
              </w:tabs>
              <w:jc w:val="center"/>
            </w:pPr>
            <w:r>
              <w:t>-</w:t>
            </w:r>
          </w:p>
        </w:tc>
      </w:tr>
    </w:tbl>
    <w:p w:rsidR="004D0A93" w:rsidRDefault="004D0A93" w:rsidP="004D0A93">
      <w:pPr>
        <w:tabs>
          <w:tab w:val="left" w:pos="3519"/>
        </w:tabs>
      </w:pPr>
    </w:p>
    <w:p w:rsidR="00B77F98" w:rsidRDefault="00B77F98" w:rsidP="00B77F98">
      <w:pPr>
        <w:tabs>
          <w:tab w:val="left" w:pos="3519"/>
        </w:tabs>
      </w:pPr>
      <w:r>
        <w:t xml:space="preserve">We recommend you to diversify your investment among these funds based on your goals. We have already mentioned the amount that you need to invest in a particular type of fund in order to achieve your financial goals. Now, you just need to invest in these funds. You can do this through a broker or you can even directly invest in these funds and save the brokerage by visiting their websites.  </w:t>
      </w:r>
    </w:p>
    <w:p w:rsidR="003200AF" w:rsidRDefault="00655542" w:rsidP="00B77F98">
      <w:pPr>
        <w:tabs>
          <w:tab w:val="left" w:pos="3519"/>
        </w:tabs>
      </w:pPr>
      <w:r>
        <w:t xml:space="preserve">Now, these funds have been selected based on your investment need, the underlying assets and the returns these have generated in the past.  Moreover, your financial goals and your risk taking ability have been taken into consideration while selecting the funds and thus we strictly recommend you to regularly invest in these funds through monthly SIPs. </w:t>
      </w:r>
    </w:p>
    <w:p w:rsidR="003200AF" w:rsidRDefault="003200AF" w:rsidP="00B77F98">
      <w:pPr>
        <w:tabs>
          <w:tab w:val="left" w:pos="3519"/>
        </w:tabs>
      </w:pPr>
    </w:p>
    <w:p w:rsidR="00B77F98" w:rsidRDefault="00B77F98" w:rsidP="00B77F98">
      <w:pPr>
        <w:tabs>
          <w:tab w:val="left" w:pos="3519"/>
        </w:tabs>
      </w:pPr>
    </w:p>
    <w:p w:rsidR="00413CE3" w:rsidRDefault="00413CE3" w:rsidP="00E32F6E">
      <w:pPr>
        <w:tabs>
          <w:tab w:val="left" w:pos="3519"/>
        </w:tabs>
      </w:pPr>
    </w:p>
    <w:p w:rsidR="00413CE3" w:rsidRDefault="00413CE3" w:rsidP="00E32F6E">
      <w:pPr>
        <w:tabs>
          <w:tab w:val="left" w:pos="3519"/>
        </w:tabs>
      </w:pPr>
    </w:p>
    <w:p w:rsidR="00413CE3" w:rsidRDefault="00413CE3" w:rsidP="00E32F6E">
      <w:pPr>
        <w:tabs>
          <w:tab w:val="left" w:pos="3519"/>
        </w:tabs>
      </w:pPr>
    </w:p>
    <w:p w:rsidR="00413CE3" w:rsidRDefault="00413CE3" w:rsidP="00E32F6E">
      <w:pPr>
        <w:tabs>
          <w:tab w:val="left" w:pos="3519"/>
        </w:tabs>
      </w:pPr>
    </w:p>
    <w:p w:rsidR="00784633" w:rsidRDefault="001762AF" w:rsidP="00E32F6E">
      <w:pPr>
        <w:tabs>
          <w:tab w:val="left" w:pos="3519"/>
        </w:tabs>
      </w:pPr>
      <w:r>
        <w:t xml:space="preserve">The diagram below shows a comparative </w:t>
      </w:r>
      <w:r w:rsidR="003414D7">
        <w:t>analysis of your current</w:t>
      </w:r>
      <w:r w:rsidR="00E32F6E">
        <w:t xml:space="preserve"> asset allocation and the asset </w:t>
      </w:r>
      <w:r w:rsidR="003414D7">
        <w:t>allocation that we recommend for you.</w:t>
      </w:r>
      <w:r w:rsidR="00784633">
        <w:t xml:space="preserve"> You are currently depositing 49% of your savings in recurring deposit, 33% in fixed deposits and 18% in your saving account. </w:t>
      </w:r>
    </w:p>
    <w:p w:rsidR="00E32F6E" w:rsidRDefault="00784633" w:rsidP="00E32F6E">
      <w:pPr>
        <w:tabs>
          <w:tab w:val="left" w:pos="3519"/>
        </w:tabs>
      </w:pPr>
      <w:r>
        <w:t>We, on the other hand, recommend you to allocate 70% of your savings toward equity mutual funds, 10% towards debt/ hybrid fund, 10% towards public provident fund, 5</w:t>
      </w:r>
      <w:r w:rsidR="00655542">
        <w:t xml:space="preserve"> </w:t>
      </w:r>
      <w:r>
        <w:t xml:space="preserve">% towards national pension scheme and save 5% in your savings account. </w:t>
      </w:r>
    </w:p>
    <w:p w:rsidR="00E32F6E" w:rsidRDefault="00E32F6E" w:rsidP="00E32F6E">
      <w:pPr>
        <w:tabs>
          <w:tab w:val="left" w:pos="3519"/>
        </w:tabs>
      </w:pPr>
    </w:p>
    <w:p w:rsidR="00293A5B" w:rsidRDefault="000A70D1" w:rsidP="00293A5B">
      <w:pPr>
        <w:ind w:left="-284" w:right="-897"/>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posOffset>1905</wp:posOffset>
            </wp:positionV>
            <wp:extent cx="2724150" cy="3781425"/>
            <wp:effectExtent l="19050" t="0" r="19050" b="0"/>
            <wp:wrapSquare wrapText="bothSides"/>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E32F6E" w:rsidRPr="00E32F6E">
        <w:rPr>
          <w:noProof/>
        </w:rPr>
        <w:drawing>
          <wp:inline distT="0" distB="0" distL="0" distR="0">
            <wp:extent cx="2725420" cy="3781425"/>
            <wp:effectExtent l="19050" t="0" r="17780" b="0"/>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E32F6E">
        <w:br w:type="textWrapping" w:clear="all"/>
      </w:r>
    </w:p>
    <w:p w:rsidR="003724E4" w:rsidRDefault="00711296" w:rsidP="00293A5B">
      <w:pPr>
        <w:ind w:right="-46"/>
      </w:pPr>
      <w:r>
        <w:t>Since you lie in the age group of 20-30 years and you do not have liabilities at all thus it is always advisable to invest a major portion of your savings in equity. Thus</w:t>
      </w:r>
      <w:r w:rsidRPr="00711296">
        <w:rPr>
          <w:b/>
        </w:rPr>
        <w:t xml:space="preserve"> we recommend you that your portfolio should have 70% investment in equity mutual funds, 10% in debt or hybrid mutual funds, 5% in national pension scheme, 5% in savings account and 10% in PPF</w:t>
      </w:r>
      <w:r>
        <w:rPr>
          <w:b/>
        </w:rPr>
        <w:t>.</w:t>
      </w:r>
      <w:r w:rsidRPr="00711296">
        <w:t xml:space="preserve"> </w:t>
      </w:r>
    </w:p>
    <w:p w:rsidR="003724E4" w:rsidRDefault="003724E4" w:rsidP="003724E4"/>
    <w:p w:rsidR="003724E4" w:rsidRDefault="003724E4" w:rsidP="003724E4"/>
    <w:p w:rsidR="003724E4" w:rsidRDefault="003724E4" w:rsidP="003724E4"/>
    <w:p w:rsidR="003724E4" w:rsidRDefault="003724E4" w:rsidP="003724E4"/>
    <w:p w:rsidR="000A70D1" w:rsidRDefault="000A70D1" w:rsidP="003724E4"/>
    <w:p w:rsidR="003724E4" w:rsidRPr="003724E4" w:rsidRDefault="00C23B97" w:rsidP="003724E4">
      <w:pPr>
        <w:rPr>
          <w:rFonts w:ascii="Calibri" w:eastAsia="Times New Roman" w:hAnsi="Calibri" w:cs="Times New Roman"/>
          <w:color w:val="000000"/>
        </w:rPr>
      </w:pPr>
      <w:r>
        <w:lastRenderedPageBreak/>
        <w:t>Now,</w:t>
      </w:r>
      <w:r w:rsidR="00642E07">
        <w:t xml:space="preserve"> the charts below show the effect of your current and reco</w:t>
      </w:r>
      <w:r w:rsidR="0072001B">
        <w:t xml:space="preserve">mmended asset allocation on the </w:t>
      </w:r>
      <w:r w:rsidR="00A47D47">
        <w:t>future value of your savings.  Moreover, if you allocate your savings in the asset classes you are currently investing in then your savings after 10 years will be</w:t>
      </w:r>
      <w:r w:rsidR="00BD3E31">
        <w:t xml:space="preserve"> </w:t>
      </w:r>
      <w:r w:rsidR="00BD3E31">
        <w:rPr>
          <w:rFonts w:ascii="Calibri" w:eastAsia="Times New Roman" w:hAnsi="Calibri" w:cs="Times New Roman"/>
          <w:color w:val="000000"/>
        </w:rPr>
        <w:t>around</w:t>
      </w:r>
      <w:r w:rsidR="003724E4">
        <w:t xml:space="preserve"> </w:t>
      </w:r>
      <w:r w:rsidR="00BD3E31">
        <w:rPr>
          <w:rFonts w:ascii="Calibri" w:eastAsia="Times New Roman" w:hAnsi="Calibri" w:cs="Times New Roman"/>
          <w:color w:val="000000"/>
        </w:rPr>
        <w:t>₹ 60 lakhs</w:t>
      </w:r>
      <w:r w:rsidR="003724E4">
        <w:rPr>
          <w:rFonts w:ascii="Calibri" w:eastAsia="Times New Roman" w:hAnsi="Calibri" w:cs="Times New Roman"/>
          <w:color w:val="000000"/>
        </w:rPr>
        <w:t xml:space="preserve"> and</w:t>
      </w:r>
      <w:r w:rsidR="003724E4">
        <w:t xml:space="preserve"> </w:t>
      </w:r>
      <w:r w:rsidR="003724E4">
        <w:rPr>
          <w:rFonts w:ascii="Calibri" w:eastAsia="Times New Roman" w:hAnsi="Calibri" w:cs="Times New Roman"/>
          <w:color w:val="000000"/>
        </w:rPr>
        <w:t>your savings after 20 years will be</w:t>
      </w:r>
      <w:r w:rsidR="00BD3E31">
        <w:rPr>
          <w:rFonts w:ascii="Calibri" w:eastAsia="Times New Roman" w:hAnsi="Calibri" w:cs="Times New Roman"/>
          <w:color w:val="000000"/>
        </w:rPr>
        <w:t xml:space="preserve"> around</w:t>
      </w:r>
      <w:r w:rsidR="003724E4">
        <w:rPr>
          <w:rFonts w:ascii="Calibri" w:eastAsia="Times New Roman" w:hAnsi="Calibri" w:cs="Times New Roman"/>
          <w:color w:val="000000"/>
        </w:rPr>
        <w:t xml:space="preserve"> </w:t>
      </w:r>
      <w:r w:rsidR="00BD3E31">
        <w:rPr>
          <w:rFonts w:ascii="Calibri" w:eastAsia="Times New Roman" w:hAnsi="Calibri" w:cs="Times New Roman"/>
          <w:color w:val="000000"/>
        </w:rPr>
        <w:t>₹ 1 crore and 78 lakhs</w:t>
      </w:r>
      <w:r w:rsidR="003724E4">
        <w:rPr>
          <w:rFonts w:ascii="Calibri" w:eastAsia="Times New Roman" w:hAnsi="Calibri" w:cs="Times New Roman"/>
          <w:color w:val="000000"/>
        </w:rPr>
        <w:t>.</w:t>
      </w:r>
      <w:r w:rsidR="00BD3E31">
        <w:rPr>
          <w:rFonts w:ascii="Calibri" w:eastAsia="Times New Roman" w:hAnsi="Calibri" w:cs="Times New Roman"/>
          <w:color w:val="000000"/>
        </w:rPr>
        <w:t xml:space="preserve"> </w:t>
      </w:r>
      <w:r w:rsidR="003724E4">
        <w:rPr>
          <w:rFonts w:ascii="Calibri" w:eastAsia="Times New Roman" w:hAnsi="Calibri" w:cs="Times New Roman"/>
          <w:color w:val="000000"/>
        </w:rPr>
        <w:t>Whereas, if you invest your savings in our recommended asset classes and in recommended proportion then your savings af</w:t>
      </w:r>
      <w:r w:rsidR="00BD3E31">
        <w:rPr>
          <w:rFonts w:ascii="Calibri" w:eastAsia="Times New Roman" w:hAnsi="Calibri" w:cs="Times New Roman"/>
          <w:color w:val="000000"/>
        </w:rPr>
        <w:t>ter 10 years will be around ₹ 77 lakhs</w:t>
      </w:r>
      <w:r w:rsidR="003724E4">
        <w:rPr>
          <w:rFonts w:ascii="Calibri" w:eastAsia="Times New Roman" w:hAnsi="Calibri" w:cs="Times New Roman"/>
          <w:color w:val="000000"/>
        </w:rPr>
        <w:t xml:space="preserve"> and your savings after 20 years will be </w:t>
      </w:r>
      <w:r w:rsidR="00BD3E31">
        <w:rPr>
          <w:rFonts w:ascii="Calibri" w:eastAsia="Times New Roman" w:hAnsi="Calibri" w:cs="Times New Roman"/>
          <w:color w:val="000000"/>
        </w:rPr>
        <w:t xml:space="preserve">around </w:t>
      </w:r>
      <w:r w:rsidR="003724E4">
        <w:rPr>
          <w:rFonts w:ascii="Calibri" w:eastAsia="Times New Roman" w:hAnsi="Calibri" w:cs="Times New Roman"/>
          <w:color w:val="000000"/>
        </w:rPr>
        <w:t>₹ 3</w:t>
      </w:r>
      <w:r w:rsidR="00BD3E31">
        <w:rPr>
          <w:rFonts w:ascii="Calibri" w:eastAsia="Times New Roman" w:hAnsi="Calibri" w:cs="Times New Roman"/>
          <w:color w:val="000000"/>
        </w:rPr>
        <w:t xml:space="preserve"> crore</w:t>
      </w:r>
      <w:r w:rsidR="000A70D1">
        <w:rPr>
          <w:rFonts w:ascii="Calibri" w:eastAsia="Times New Roman" w:hAnsi="Calibri" w:cs="Times New Roman"/>
          <w:color w:val="000000"/>
        </w:rPr>
        <w:t xml:space="preserve"> and</w:t>
      </w:r>
      <w:r w:rsidR="00BD3E31">
        <w:rPr>
          <w:rFonts w:ascii="Calibri" w:eastAsia="Times New Roman" w:hAnsi="Calibri" w:cs="Times New Roman"/>
          <w:color w:val="000000"/>
        </w:rPr>
        <w:t xml:space="preserve"> 10 lakhs</w:t>
      </w:r>
      <w:r w:rsidR="003724E4">
        <w:rPr>
          <w:rFonts w:ascii="Calibri" w:eastAsia="Times New Roman" w:hAnsi="Calibri" w:cs="Times New Roman"/>
          <w:color w:val="000000"/>
        </w:rPr>
        <w:t>.</w:t>
      </w:r>
      <w:r w:rsidR="003724E4">
        <w:rPr>
          <w:rFonts w:ascii="Calibri" w:eastAsia="Times New Roman" w:hAnsi="Calibri" w:cs="Times New Roman"/>
          <w:color w:val="000000"/>
        </w:rPr>
        <w:tab/>
      </w:r>
    </w:p>
    <w:p w:rsidR="0072001B" w:rsidRDefault="0072001B" w:rsidP="0072001B">
      <w:pPr>
        <w:tabs>
          <w:tab w:val="left" w:pos="3519"/>
        </w:tabs>
      </w:pPr>
    </w:p>
    <w:p w:rsidR="00293A5B" w:rsidRDefault="004F1E1F" w:rsidP="00293A5B">
      <w:pPr>
        <w:ind w:right="-613"/>
      </w:pPr>
      <w:r>
        <w:rPr>
          <w:noProof/>
        </w:rPr>
        <w:pict>
          <v:shape id="_x0000_s1031" type="#_x0000_t202" style="position:absolute;margin-left:-179.25pt;margin-top:73.85pt;width:74.25pt;height:25.5pt;z-index:251662336">
            <v:textbox>
              <w:txbxContent>
                <w:p w:rsidR="004F1E1F" w:rsidRDefault="004F1E1F">
                  <w:r>
                    <w:t>Rs. in crore</w:t>
                  </w:r>
                </w:p>
              </w:txbxContent>
            </v:textbox>
          </v:shape>
        </w:pict>
      </w:r>
      <w:r w:rsidR="00BD3E31">
        <w:rPr>
          <w:noProof/>
        </w:rPr>
        <w:drawing>
          <wp:anchor distT="0" distB="0" distL="114300" distR="114300" simplePos="0" relativeHeight="251659264" behindDoc="0" locked="0" layoutInCell="1" allowOverlap="1">
            <wp:simplePos x="0" y="0"/>
            <wp:positionH relativeFrom="column">
              <wp:align>left</wp:align>
            </wp:positionH>
            <wp:positionV relativeFrom="paragraph">
              <wp:posOffset>-4445</wp:posOffset>
            </wp:positionV>
            <wp:extent cx="2807970" cy="2627630"/>
            <wp:effectExtent l="19050" t="0" r="11430" b="127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72001B" w:rsidRPr="0072001B">
        <w:rPr>
          <w:noProof/>
        </w:rPr>
        <w:drawing>
          <wp:inline distT="0" distB="0" distL="0" distR="0">
            <wp:extent cx="2808000" cy="2628265"/>
            <wp:effectExtent l="19050" t="0" r="11400" b="635"/>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72001B">
        <w:br w:type="textWrapping" w:clear="all"/>
      </w:r>
    </w:p>
    <w:p w:rsidR="00DB2C38" w:rsidRPr="00DB2C38" w:rsidRDefault="000453B8" w:rsidP="00293A5B">
      <w:pPr>
        <w:ind w:right="-613"/>
        <w:rPr>
          <w:rFonts w:ascii="Calibri" w:eastAsia="Times New Roman" w:hAnsi="Calibri" w:cs="Times New Roman"/>
          <w:color w:val="000000"/>
        </w:rPr>
      </w:pPr>
      <w:r>
        <w:t xml:space="preserve">Further, having the assets which yields higher return in your portfolio will help you to save more and achieve goals in the long run. In a ten year span you would save around </w:t>
      </w:r>
      <w:r w:rsidR="00BD3E31">
        <w:rPr>
          <w:rFonts w:ascii="Calibri" w:eastAsia="Times New Roman" w:hAnsi="Calibri" w:cs="Times New Roman"/>
          <w:color w:val="000000"/>
        </w:rPr>
        <w:t>₹ 17 lakhs</w:t>
      </w:r>
      <w:r>
        <w:rPr>
          <w:rFonts w:ascii="Calibri" w:eastAsia="Times New Roman" w:hAnsi="Calibri" w:cs="Times New Roman"/>
          <w:color w:val="000000"/>
        </w:rPr>
        <w:t xml:space="preserve"> more, by investing in the asset classes that we recommend, than what you would</w:t>
      </w:r>
      <w:r w:rsidR="00BD3E31">
        <w:rPr>
          <w:rFonts w:ascii="Calibri" w:eastAsia="Times New Roman" w:hAnsi="Calibri" w:cs="Times New Roman"/>
          <w:color w:val="000000"/>
        </w:rPr>
        <w:t xml:space="preserve"> be able to save by maintaining</w:t>
      </w:r>
      <w:r>
        <w:rPr>
          <w:rFonts w:ascii="Calibri" w:eastAsia="Times New Roman" w:hAnsi="Calibri" w:cs="Times New Roman"/>
          <w:color w:val="000000"/>
        </w:rPr>
        <w:t xml:space="preserve"> the current asset allocation.</w:t>
      </w:r>
      <w:r w:rsidR="00DB2C38">
        <w:rPr>
          <w:rFonts w:ascii="Calibri" w:eastAsia="Times New Roman" w:hAnsi="Calibri" w:cs="Times New Roman"/>
          <w:color w:val="000000"/>
        </w:rPr>
        <w:t xml:space="preserve"> And in a twenty years time the difference</w:t>
      </w:r>
      <w:r w:rsidR="00BD3E31">
        <w:rPr>
          <w:rFonts w:ascii="Calibri" w:eastAsia="Times New Roman" w:hAnsi="Calibri" w:cs="Times New Roman"/>
          <w:color w:val="000000"/>
        </w:rPr>
        <w:t xml:space="preserve"> will increase to   ₹ 1 crore and 30 lakhs</w:t>
      </w:r>
      <w:r w:rsidR="00DB2C38">
        <w:rPr>
          <w:rFonts w:ascii="Calibri" w:eastAsia="Times New Roman" w:hAnsi="Calibri" w:cs="Times New Roman"/>
          <w:color w:val="000000"/>
        </w:rPr>
        <w:t>. Now,</w:t>
      </w:r>
      <w:r w:rsidR="00DB2C38" w:rsidRPr="00DB2C38">
        <w:rPr>
          <w:rFonts w:ascii="Calibri" w:eastAsia="Times New Roman" w:hAnsi="Calibri" w:cs="Times New Roman"/>
          <w:b/>
          <w:color w:val="000000"/>
        </w:rPr>
        <w:t xml:space="preserve"> imagine having extra savings of around </w:t>
      </w:r>
      <w:r w:rsidR="00796F98" w:rsidRPr="00DB2C38">
        <w:rPr>
          <w:rFonts w:ascii="Calibri" w:eastAsia="Times New Roman" w:hAnsi="Calibri" w:cs="Times New Roman"/>
          <w:b/>
          <w:color w:val="000000"/>
        </w:rPr>
        <w:t>one</w:t>
      </w:r>
      <w:r w:rsidR="00DB2C38" w:rsidRPr="00DB2C38">
        <w:rPr>
          <w:rFonts w:ascii="Calibri" w:eastAsia="Times New Roman" w:hAnsi="Calibri" w:cs="Times New Roman"/>
          <w:b/>
          <w:color w:val="000000"/>
        </w:rPr>
        <w:t xml:space="preserve"> crore and thirty lakhs in your hands jus</w:t>
      </w:r>
      <w:r w:rsidR="00796F98">
        <w:rPr>
          <w:rFonts w:ascii="Calibri" w:eastAsia="Times New Roman" w:hAnsi="Calibri" w:cs="Times New Roman"/>
          <w:b/>
          <w:color w:val="000000"/>
        </w:rPr>
        <w:t>t by following some simple advic</w:t>
      </w:r>
      <w:r w:rsidR="00DB2C38" w:rsidRPr="00DB2C38">
        <w:rPr>
          <w:rFonts w:ascii="Calibri" w:eastAsia="Times New Roman" w:hAnsi="Calibri" w:cs="Times New Roman"/>
          <w:b/>
          <w:color w:val="000000"/>
        </w:rPr>
        <w:t>es</w:t>
      </w:r>
      <w:r w:rsidR="00DB2C38">
        <w:rPr>
          <w:rFonts w:ascii="Calibri" w:eastAsia="Times New Roman" w:hAnsi="Calibri" w:cs="Times New Roman"/>
          <w:color w:val="000000"/>
        </w:rPr>
        <w:t xml:space="preserve">.   </w:t>
      </w:r>
    </w:p>
    <w:p w:rsidR="008C3195" w:rsidRDefault="008C3195" w:rsidP="006F2D0E">
      <w:pPr>
        <w:tabs>
          <w:tab w:val="left" w:pos="3519"/>
        </w:tabs>
        <w:rPr>
          <w:rFonts w:ascii="Calibri" w:eastAsia="Times New Roman" w:hAnsi="Calibri" w:cs="Times New Roman"/>
          <w:color w:val="000000"/>
        </w:rPr>
      </w:pPr>
    </w:p>
    <w:p w:rsidR="000A70D1" w:rsidRDefault="000A70D1" w:rsidP="006F2D0E">
      <w:pPr>
        <w:tabs>
          <w:tab w:val="left" w:pos="3519"/>
        </w:tabs>
      </w:pPr>
    </w:p>
    <w:p w:rsidR="008C3195" w:rsidRDefault="008C3195" w:rsidP="006F2D0E">
      <w:pPr>
        <w:tabs>
          <w:tab w:val="left" w:pos="3519"/>
        </w:tabs>
      </w:pPr>
    </w:p>
    <w:p w:rsidR="008C3195" w:rsidRDefault="008C3195" w:rsidP="006F2D0E">
      <w:pPr>
        <w:tabs>
          <w:tab w:val="left" w:pos="3519"/>
        </w:tabs>
      </w:pPr>
    </w:p>
    <w:p w:rsidR="003724E4" w:rsidRDefault="003724E4" w:rsidP="006F2D0E">
      <w:pPr>
        <w:tabs>
          <w:tab w:val="left" w:pos="3519"/>
        </w:tabs>
      </w:pPr>
    </w:p>
    <w:p w:rsidR="00DB2C38" w:rsidRDefault="00DB2C38" w:rsidP="006F2D0E">
      <w:pPr>
        <w:tabs>
          <w:tab w:val="left" w:pos="3519"/>
        </w:tabs>
      </w:pPr>
    </w:p>
    <w:p w:rsidR="00DB2C38" w:rsidRDefault="00DB2C38" w:rsidP="006F2D0E">
      <w:pPr>
        <w:tabs>
          <w:tab w:val="left" w:pos="3519"/>
        </w:tabs>
      </w:pPr>
    </w:p>
    <w:p w:rsidR="00DA29D1" w:rsidRDefault="00DA29D1" w:rsidP="006F2D0E">
      <w:pPr>
        <w:tabs>
          <w:tab w:val="left" w:pos="3519"/>
        </w:tabs>
      </w:pPr>
    </w:p>
    <w:p w:rsidR="00715561" w:rsidRDefault="00715561" w:rsidP="006F2D0E">
      <w:pPr>
        <w:tabs>
          <w:tab w:val="left" w:pos="3519"/>
        </w:tabs>
      </w:pPr>
    </w:p>
    <w:p w:rsidR="00D61190" w:rsidRDefault="00EB07B1" w:rsidP="006F2D0E">
      <w:pPr>
        <w:tabs>
          <w:tab w:val="left" w:pos="3519"/>
        </w:tabs>
      </w:pPr>
      <w:r>
        <w:lastRenderedPageBreak/>
        <w:t xml:space="preserve">Now, the graph </w:t>
      </w:r>
      <w:r w:rsidR="003B58D6">
        <w:t>below</w:t>
      </w:r>
      <w:r w:rsidR="00C45CB8">
        <w:t xml:space="preserve"> show</w:t>
      </w:r>
      <w:r w:rsidR="003B58D6">
        <w:t>s</w:t>
      </w:r>
      <w:r w:rsidR="00C45CB8">
        <w:t xml:space="preserve"> how the v</w:t>
      </w:r>
      <w:r w:rsidR="008428E7">
        <w:t xml:space="preserve">alue of your investments </w:t>
      </w:r>
      <w:r w:rsidR="00082B95">
        <w:t>will grow over the course of 5 years.</w:t>
      </w:r>
      <w:r>
        <w:t xml:space="preserve"> </w:t>
      </w:r>
      <w:r w:rsidR="008428E7">
        <w:t>In the beginning of FY17 your investments were</w:t>
      </w:r>
      <w:r w:rsidR="004F1E1F">
        <w:t xml:space="preserve"> around</w:t>
      </w:r>
      <w:r w:rsidR="008428E7">
        <w:t xml:space="preserve"> Rs 3</w:t>
      </w:r>
      <w:r w:rsidR="004F1E1F">
        <w:t xml:space="preserve"> lakhs</w:t>
      </w:r>
      <w:r w:rsidR="008428E7">
        <w:t xml:space="preserve"> and by the end of FY 2021 the value of your investments will grow to</w:t>
      </w:r>
      <w:r w:rsidR="004F1E1F">
        <w:t xml:space="preserve"> around</w:t>
      </w:r>
      <w:r w:rsidR="008428E7">
        <w:t xml:space="preserve"> Rs 2</w:t>
      </w:r>
      <w:r w:rsidR="004F1E1F">
        <w:t>4 lakhs</w:t>
      </w:r>
      <w:r w:rsidR="008428E7">
        <w:t>. Moreover, the graph below shows</w:t>
      </w:r>
      <w:r w:rsidR="004F1E1F">
        <w:t xml:space="preserve"> your existing investment (blue segment), additional investment i.e. annual savings (red segment) and the annual returns (green segment)  </w:t>
      </w:r>
    </w:p>
    <w:p w:rsidR="00053608" w:rsidRDefault="00A873D5" w:rsidP="004F1E1F">
      <w:pPr>
        <w:tabs>
          <w:tab w:val="left" w:pos="3519"/>
        </w:tabs>
      </w:pPr>
      <w:r w:rsidRPr="00A873D5">
        <w:drawing>
          <wp:inline distT="0" distB="0" distL="0" distR="0">
            <wp:extent cx="4572000" cy="2743200"/>
            <wp:effectExtent l="19050" t="0" r="1905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B2C38" w:rsidRDefault="003B58D6" w:rsidP="003B58D6">
      <w:r>
        <w:t>Moreover, your current saving rate is around 78% which is a fantastic number. Now, you just need to be a smart investor and allocate your savings in the asset classes that suits your profile.</w:t>
      </w:r>
      <w:r w:rsidR="00DB2C38">
        <w:t xml:space="preserve"> </w:t>
      </w:r>
      <w:r>
        <w:t>We have provid</w:t>
      </w:r>
      <w:r w:rsidR="00DB2C38">
        <w:t>ed you with all the details which</w:t>
      </w:r>
      <w:r>
        <w:t xml:space="preserve"> </w:t>
      </w:r>
      <w:r w:rsidR="00DB2C38">
        <w:t xml:space="preserve">will help to not only achieve your goals but also have a financially independent future. </w:t>
      </w:r>
    </w:p>
    <w:p w:rsidR="00D61190" w:rsidRDefault="00DB2C38" w:rsidP="003B58D6">
      <w:r>
        <w:t xml:space="preserve"> </w:t>
      </w:r>
      <w:r w:rsidR="00F51141">
        <w:t>For any further query or advice always feel free to c</w:t>
      </w:r>
      <w:r w:rsidR="00713041">
        <w:t>o</w:t>
      </w:r>
      <w:r w:rsidR="00F51141">
        <w:t>ntact us.</w:t>
      </w:r>
    </w:p>
    <w:p w:rsidR="00D61190" w:rsidRDefault="00E25AFB" w:rsidP="00D61190">
      <w:pPr>
        <w:jc w:val="center"/>
      </w:pPr>
      <w:r>
        <w:rPr>
          <w:noProof/>
        </w:rPr>
        <w:t xml:space="preserve"> </w:t>
      </w:r>
    </w:p>
    <w:p w:rsidR="00036EEB" w:rsidRDefault="00036EEB" w:rsidP="00D61190">
      <w:pPr>
        <w:jc w:val="center"/>
      </w:pPr>
    </w:p>
    <w:p w:rsidR="00036EEB" w:rsidRDefault="00036EEB" w:rsidP="00D61190">
      <w:pPr>
        <w:jc w:val="center"/>
      </w:pPr>
    </w:p>
    <w:p w:rsidR="00663595" w:rsidRDefault="00663595" w:rsidP="00DA29D1"/>
    <w:p w:rsidR="00715561" w:rsidRDefault="00715561" w:rsidP="00DA29D1"/>
    <w:p w:rsidR="00715561" w:rsidRDefault="00715561" w:rsidP="00DA29D1"/>
    <w:p w:rsidR="00715561" w:rsidRDefault="00715561" w:rsidP="00DA29D1"/>
    <w:p w:rsidR="00715561" w:rsidRDefault="00715561" w:rsidP="00DA29D1"/>
    <w:p w:rsidR="004F1E1F" w:rsidRDefault="004F1E1F" w:rsidP="00715561">
      <w:pPr>
        <w:pStyle w:val="1stIntroHeadings"/>
        <w:spacing w:line="240" w:lineRule="auto"/>
        <w:jc w:val="center"/>
        <w:rPr>
          <w:sz w:val="22"/>
          <w:szCs w:val="22"/>
        </w:rPr>
      </w:pPr>
    </w:p>
    <w:p w:rsidR="004F1E1F" w:rsidRDefault="004F1E1F" w:rsidP="00715561">
      <w:pPr>
        <w:pStyle w:val="1stIntroHeadings"/>
        <w:spacing w:line="240" w:lineRule="auto"/>
        <w:jc w:val="center"/>
        <w:rPr>
          <w:sz w:val="22"/>
          <w:szCs w:val="22"/>
        </w:rPr>
      </w:pPr>
    </w:p>
    <w:p w:rsidR="004F1E1F" w:rsidRDefault="004F1E1F" w:rsidP="00715561">
      <w:pPr>
        <w:pStyle w:val="1stIntroHeadings"/>
        <w:spacing w:line="240" w:lineRule="auto"/>
        <w:jc w:val="center"/>
        <w:rPr>
          <w:sz w:val="22"/>
          <w:szCs w:val="22"/>
        </w:rPr>
      </w:pPr>
    </w:p>
    <w:p w:rsidR="00655542" w:rsidRDefault="00655542" w:rsidP="00715561">
      <w:pPr>
        <w:pStyle w:val="1stIntroHeadings"/>
        <w:spacing w:line="240" w:lineRule="auto"/>
        <w:jc w:val="center"/>
        <w:rPr>
          <w:sz w:val="22"/>
          <w:szCs w:val="22"/>
        </w:rPr>
      </w:pPr>
    </w:p>
    <w:p w:rsidR="00655542" w:rsidRDefault="00655542" w:rsidP="00715561">
      <w:pPr>
        <w:pStyle w:val="1stIntroHeadings"/>
        <w:spacing w:line="240" w:lineRule="auto"/>
        <w:jc w:val="center"/>
        <w:rPr>
          <w:sz w:val="22"/>
          <w:szCs w:val="22"/>
        </w:rPr>
      </w:pPr>
    </w:p>
    <w:p w:rsidR="00715561" w:rsidRDefault="00715561" w:rsidP="00715561">
      <w:pPr>
        <w:pStyle w:val="1stIntroHeadings"/>
        <w:spacing w:line="240" w:lineRule="auto"/>
        <w:jc w:val="center"/>
        <w:rPr>
          <w:sz w:val="22"/>
          <w:szCs w:val="22"/>
        </w:rPr>
      </w:pPr>
      <w:r>
        <w:rPr>
          <w:sz w:val="22"/>
          <w:szCs w:val="22"/>
        </w:rPr>
        <w:t>Disclaimer</w:t>
      </w:r>
    </w:p>
    <w:p w:rsidR="00715561" w:rsidRPr="00786950" w:rsidRDefault="00715561" w:rsidP="00715561">
      <w:pPr>
        <w:pStyle w:val="1stIntroHeadings"/>
        <w:spacing w:line="240" w:lineRule="auto"/>
        <w:contextualSpacing/>
        <w:rPr>
          <w:sz w:val="10"/>
          <w:szCs w:val="10"/>
        </w:rPr>
      </w:pPr>
      <w:r w:rsidRPr="00786950">
        <w:rPr>
          <w:sz w:val="10"/>
          <w:szCs w:val="10"/>
        </w:rPr>
        <w:t>about us</w:t>
      </w:r>
    </w:p>
    <w:p w:rsidR="00715561" w:rsidRPr="00786950" w:rsidRDefault="00715561" w:rsidP="00715561">
      <w:pPr>
        <w:pStyle w:val="NormalSpaced"/>
        <w:spacing w:line="240" w:lineRule="auto"/>
        <w:contextualSpacing/>
        <w:rPr>
          <w:sz w:val="10"/>
          <w:szCs w:val="10"/>
        </w:rPr>
      </w:pPr>
      <w:r w:rsidRPr="00786950">
        <w:rPr>
          <w:sz w:val="10"/>
          <w:szCs w:val="10"/>
        </w:rPr>
        <w:t>The Website is an online platform which provides services such as (i) online tools for financial planning; (ii) a listing of various savings and investment options based on various parameters; and (iii) general financial education (collectively called the “</w:t>
      </w:r>
      <w:r w:rsidRPr="00786950">
        <w:rPr>
          <w:b/>
          <w:bCs/>
          <w:sz w:val="10"/>
          <w:szCs w:val="10"/>
        </w:rPr>
        <w:t>Services</w:t>
      </w:r>
      <w:r w:rsidRPr="00786950">
        <w:rPr>
          <w:sz w:val="10"/>
          <w:szCs w:val="10"/>
        </w:rPr>
        <w:t>”) to the Users, operated by Yfin Advisor Private Limited (the “</w:t>
      </w:r>
      <w:r w:rsidRPr="00786950">
        <w:rPr>
          <w:b/>
          <w:sz w:val="10"/>
          <w:szCs w:val="10"/>
        </w:rPr>
        <w:t>Company</w:t>
      </w:r>
      <w:r w:rsidRPr="00786950">
        <w:rPr>
          <w:sz w:val="10"/>
          <w:szCs w:val="10"/>
        </w:rPr>
        <w:t xml:space="preserve">”) incorporated under Indian Companies Act, 2013 with registered office at C-304, CGHS Rose Woods Apartment, MayurVihar, Phase-I, New Delhi-1100091 </w:t>
      </w:r>
    </w:p>
    <w:p w:rsidR="00715561" w:rsidRPr="00786950" w:rsidRDefault="00715561" w:rsidP="00715561">
      <w:pPr>
        <w:pStyle w:val="NormalSpaced"/>
        <w:spacing w:line="240" w:lineRule="auto"/>
        <w:contextualSpacing/>
        <w:rPr>
          <w:sz w:val="10"/>
          <w:szCs w:val="10"/>
        </w:rPr>
      </w:pPr>
      <w:r w:rsidRPr="00786950">
        <w:rPr>
          <w:sz w:val="10"/>
          <w:szCs w:val="10"/>
        </w:rPr>
        <w:t>Any reference to “you” or “your” or “user” refers to you as a user of the Website and the Services and any reference to “we”, “our” and “us” shall refer to the Company as the provider of the Services.</w:t>
      </w:r>
    </w:p>
    <w:p w:rsidR="00715561" w:rsidRPr="00786950" w:rsidRDefault="00715561" w:rsidP="00715561">
      <w:pPr>
        <w:pStyle w:val="1stIntroHeadings"/>
        <w:spacing w:line="240" w:lineRule="auto"/>
        <w:contextualSpacing/>
        <w:rPr>
          <w:sz w:val="10"/>
          <w:szCs w:val="10"/>
        </w:rPr>
      </w:pPr>
      <w:r w:rsidRPr="00786950">
        <w:rPr>
          <w:sz w:val="10"/>
          <w:szCs w:val="10"/>
        </w:rPr>
        <w:t>Changes to these terms and services</w:t>
      </w:r>
    </w:p>
    <w:p w:rsidR="00715561" w:rsidRPr="00786950" w:rsidRDefault="00715561" w:rsidP="00715561">
      <w:pPr>
        <w:pStyle w:val="NormalSpaced"/>
        <w:spacing w:line="240" w:lineRule="auto"/>
        <w:contextualSpacing/>
        <w:rPr>
          <w:sz w:val="10"/>
          <w:szCs w:val="10"/>
        </w:rPr>
      </w:pPr>
      <w:r w:rsidRPr="00786950">
        <w:rPr>
          <w:sz w:val="10"/>
          <w:szCs w:val="10"/>
        </w:rPr>
        <w:t xml:space="preserve">We may revise these Terms at any time by amending this page. Please check this page from time to time to take notice of any changes we made, as they are binding on you. </w:t>
      </w:r>
    </w:p>
    <w:p w:rsidR="00715561" w:rsidRPr="00786950" w:rsidRDefault="00715561" w:rsidP="00715561">
      <w:pPr>
        <w:pStyle w:val="NormalSpaced"/>
        <w:spacing w:line="240" w:lineRule="auto"/>
        <w:contextualSpacing/>
        <w:rPr>
          <w:sz w:val="10"/>
          <w:szCs w:val="10"/>
        </w:rPr>
      </w:pPr>
      <w:r w:rsidRPr="00786950">
        <w:rPr>
          <w:sz w:val="10"/>
          <w:szCs w:val="10"/>
        </w:rPr>
        <w:t xml:space="preserve">We may, without prior notice, change the Services; </w:t>
      </w:r>
      <w:r w:rsidRPr="00786950">
        <w:rPr>
          <w:sz w:val="10"/>
          <w:szCs w:val="10"/>
          <w:shd w:val="clear" w:color="auto" w:fill="FFFFFF"/>
        </w:rPr>
        <w:t>add or remove functionalities or features</w:t>
      </w:r>
      <w:r w:rsidRPr="00786950">
        <w:rPr>
          <w:sz w:val="10"/>
          <w:szCs w:val="10"/>
        </w:rPr>
        <w:t>; stop providing the Services or features of the Services, to you or to users generally; or create usage limits for the Services.</w:t>
      </w:r>
    </w:p>
    <w:p w:rsidR="00AF3A7C" w:rsidRDefault="00715561" w:rsidP="00715561">
      <w:pPr>
        <w:spacing w:line="240" w:lineRule="auto"/>
        <w:contextualSpacing/>
        <w:rPr>
          <w:rFonts w:ascii="Times New Roman" w:hAnsi="Times New Roman" w:cs="Times New Roman"/>
          <w:b/>
          <w:smallCaps/>
          <w:sz w:val="10"/>
          <w:szCs w:val="10"/>
        </w:rPr>
      </w:pPr>
      <w:r w:rsidRPr="00786950">
        <w:rPr>
          <w:rFonts w:ascii="Times New Roman" w:hAnsi="Times New Roman" w:cs="Times New Roman"/>
          <w:b/>
          <w:smallCaps/>
          <w:sz w:val="10"/>
          <w:szCs w:val="10"/>
        </w:rPr>
        <w:t>Scope of Services</w:t>
      </w:r>
    </w:p>
    <w:p w:rsidR="00715561" w:rsidRPr="00786950" w:rsidRDefault="00715561" w:rsidP="00715561">
      <w:pPr>
        <w:spacing w:line="240" w:lineRule="auto"/>
        <w:contextualSpacing/>
        <w:rPr>
          <w:rFonts w:ascii="Times New Roman" w:hAnsi="Times New Roman" w:cs="Times New Roman"/>
          <w:b/>
          <w:smallCaps/>
          <w:sz w:val="10"/>
          <w:szCs w:val="10"/>
        </w:rPr>
      </w:pPr>
      <w:r w:rsidRPr="00786950">
        <w:rPr>
          <w:rFonts w:ascii="Times New Roman" w:hAnsi="Times New Roman" w:cs="Times New Roman"/>
          <w:b/>
          <w:smallCaps/>
          <w:sz w:val="10"/>
          <w:szCs w:val="10"/>
        </w:rPr>
        <w:t xml:space="preserve"> </w:t>
      </w:r>
    </w:p>
    <w:p w:rsidR="00715561" w:rsidRPr="00786950" w:rsidRDefault="00715561" w:rsidP="00715561">
      <w:pPr>
        <w:spacing w:line="240" w:lineRule="auto"/>
        <w:contextualSpacing/>
        <w:rPr>
          <w:rFonts w:ascii="Times New Roman" w:hAnsi="Times New Roman" w:cs="Times New Roman"/>
          <w:sz w:val="10"/>
          <w:szCs w:val="10"/>
          <w:lang w:val="en-US"/>
        </w:rPr>
      </w:pPr>
      <w:r w:rsidRPr="00786950">
        <w:rPr>
          <w:rFonts w:ascii="Times New Roman" w:hAnsi="Times New Roman" w:cs="Times New Roman"/>
          <w:sz w:val="10"/>
          <w:szCs w:val="10"/>
          <w:lang w:val="en-US"/>
        </w:rPr>
        <w:t>A financial diagnosis report will be prepared by the Company through a software-based algorithm, using the information provided by you and on certain assumptions drawn from the information provided. Incomplete, incorrect and / or not providing of data and/ or providing of incomplete data could lead to a financial diagnosis report being prepared in context to the data submitted. This could be in contrast to the financial diagnosis report which would have been prepared had all the data been correctly provided. The Company will not be held responsible for diagnosis prepared on incorrect data and it is the users endeavor to ensure that complete accurate data is provided. Any change to data submitted for financial diagnosis will result in a change to the diagnosis. If you want to enter any additional data after submission for diagnosis, the Company has a right to charge you a predetermined amount in order to rework the diagnosis.</w:t>
      </w:r>
    </w:p>
    <w:p w:rsidR="00715561" w:rsidRPr="00786950" w:rsidRDefault="00715561" w:rsidP="00715561">
      <w:pPr>
        <w:spacing w:line="240" w:lineRule="auto"/>
        <w:contextualSpacing/>
        <w:rPr>
          <w:rFonts w:ascii="Times New Roman" w:hAnsi="Times New Roman" w:cs="Times New Roman"/>
          <w:sz w:val="10"/>
          <w:szCs w:val="10"/>
          <w:lang w:val="en-US"/>
        </w:rPr>
      </w:pPr>
      <w:r w:rsidRPr="00786950">
        <w:rPr>
          <w:rFonts w:ascii="Times New Roman" w:hAnsi="Times New Roman" w:cs="Times New Roman"/>
          <w:sz w:val="10"/>
          <w:szCs w:val="10"/>
          <w:lang w:val="en-US"/>
        </w:rPr>
        <w:t>The Company does not represent that the methodology of the preparation of financial diagnosis report is exhaustive or foolproof. You agree that any such diagnosis or report prepared by the Company is subjective in nature, which may or may not result in a diagnosis that is either accurate or suitable to you.</w:t>
      </w:r>
    </w:p>
    <w:p w:rsidR="00715561" w:rsidRPr="00786950" w:rsidRDefault="00715561" w:rsidP="00715561">
      <w:pPr>
        <w:spacing w:before="100" w:beforeAutospacing="1" w:after="100" w:afterAutospacing="1" w:line="240" w:lineRule="auto"/>
        <w:contextualSpacing/>
        <w:rPr>
          <w:rFonts w:ascii="Times New Roman" w:hAnsi="Times New Roman" w:cs="Times New Roman"/>
          <w:sz w:val="10"/>
          <w:szCs w:val="10"/>
        </w:rPr>
      </w:pPr>
      <w:r w:rsidRPr="00786950">
        <w:rPr>
          <w:rFonts w:ascii="Times New Roman" w:hAnsi="Times New Roman" w:cs="Times New Roman"/>
          <w:sz w:val="10"/>
          <w:szCs w:val="10"/>
        </w:rPr>
        <w:t xml:space="preserve">The user will receive a quarterly summary of the User Account from the Company or the frequency as decided and informed by the Company post taking the services. </w:t>
      </w:r>
    </w:p>
    <w:p w:rsidR="00715561" w:rsidRPr="00786950" w:rsidRDefault="00715561" w:rsidP="00715561">
      <w:pPr>
        <w:pStyle w:val="1stIntroHeadings"/>
        <w:spacing w:line="240" w:lineRule="auto"/>
        <w:contextualSpacing/>
        <w:rPr>
          <w:sz w:val="10"/>
          <w:szCs w:val="10"/>
        </w:rPr>
      </w:pPr>
      <w:r w:rsidRPr="00786950">
        <w:rPr>
          <w:sz w:val="10"/>
          <w:szCs w:val="10"/>
        </w:rPr>
        <w:t xml:space="preserve">No reliance on information </w:t>
      </w:r>
    </w:p>
    <w:p w:rsidR="00715561" w:rsidRPr="00786950" w:rsidRDefault="00715561" w:rsidP="00715561">
      <w:pPr>
        <w:spacing w:line="240" w:lineRule="auto"/>
        <w:contextualSpacing/>
        <w:rPr>
          <w:rFonts w:ascii="Times New Roman" w:hAnsi="Times New Roman" w:cs="Times New Roman"/>
          <w:sz w:val="10"/>
          <w:szCs w:val="10"/>
        </w:rPr>
      </w:pPr>
      <w:r w:rsidRPr="00786950">
        <w:rPr>
          <w:rFonts w:ascii="Times New Roman" w:hAnsi="Times New Roman" w:cs="Times New Roman"/>
          <w:sz w:val="10"/>
          <w:szCs w:val="10"/>
          <w:lang w:val="en-US"/>
        </w:rPr>
        <w:t>Investments are subject to investment risks, including the loss of the principal amount invested. Past performance is not indicative of future results. Prices / invested sum are subject to market risks which may result in appreciation or depreciation. The ownership of any investment decision(s) shall exclusively vest with the user after analyzing all possible risk factors and by exercise of his/ her/its independent discretion and the Company shall not be held liable for any consequences thereof.</w:t>
      </w:r>
      <w:r>
        <w:rPr>
          <w:rFonts w:ascii="Times New Roman" w:hAnsi="Times New Roman" w:cs="Times New Roman"/>
          <w:sz w:val="10"/>
          <w:szCs w:val="10"/>
          <w:lang w:val="en-US"/>
        </w:rPr>
        <w:t xml:space="preserve"> We have assumed the rate of returns based on the historical returns of these asset classes and it may vary from the actual returns.</w:t>
      </w:r>
    </w:p>
    <w:p w:rsidR="00715561" w:rsidRPr="00786950" w:rsidRDefault="00715561" w:rsidP="00715561">
      <w:pPr>
        <w:pStyle w:val="NormalSpaced"/>
        <w:spacing w:line="240" w:lineRule="auto"/>
        <w:contextualSpacing/>
        <w:rPr>
          <w:sz w:val="10"/>
          <w:szCs w:val="10"/>
        </w:rPr>
      </w:pPr>
      <w:r w:rsidRPr="00786950">
        <w:rPr>
          <w:sz w:val="10"/>
          <w:szCs w:val="10"/>
        </w:rPr>
        <w:t xml:space="preserve">The Content on the Website, available for free is provided for general information only. It is not intended to amount to advice on which you should rely. </w:t>
      </w:r>
    </w:p>
    <w:p w:rsidR="00715561" w:rsidRPr="00786950" w:rsidRDefault="00715561" w:rsidP="00715561">
      <w:pPr>
        <w:spacing w:line="240" w:lineRule="auto"/>
        <w:contextualSpacing/>
        <w:rPr>
          <w:rFonts w:ascii="Times New Roman" w:hAnsi="Times New Roman" w:cs="Times New Roman"/>
          <w:sz w:val="10"/>
          <w:szCs w:val="10"/>
        </w:rPr>
      </w:pPr>
      <w:r w:rsidRPr="00786950">
        <w:rPr>
          <w:rFonts w:ascii="Times New Roman" w:hAnsi="Times New Roman" w:cs="Times New Roman"/>
          <w:sz w:val="10"/>
          <w:szCs w:val="10"/>
        </w:rPr>
        <w:t xml:space="preserve">We display some content that is not ours. This content is the sole responsibility of the person/entity who makes it available. The content of the Website, including without limitation, text, copy, audio, video, photographs, illustrations, graphics and other visuals, is for informational purposes only. Reliance on any information appearing on the Website, whether provided by the Company, its content providers, visitors to the Website or others, is solely at your own risk, and the Company shall not bear any liability for any loss/ injury that may arise due to your reliance on any information published on the Website. We may review content to determine whether it is illegal or violates our policies, and we may remove or refuse to display content that we reasonably believe violates our policies or the law. But that does not necessarily mean that we review content, so please don’t assume that we do. </w:t>
      </w:r>
    </w:p>
    <w:p w:rsidR="00715561" w:rsidRPr="00786950" w:rsidRDefault="00715561" w:rsidP="00715561">
      <w:pPr>
        <w:pStyle w:val="NormalSpaced"/>
        <w:spacing w:line="240" w:lineRule="auto"/>
        <w:contextualSpacing/>
        <w:rPr>
          <w:sz w:val="10"/>
          <w:szCs w:val="10"/>
        </w:rPr>
      </w:pPr>
      <w:r w:rsidRPr="00786950">
        <w:rPr>
          <w:sz w:val="10"/>
          <w:szCs w:val="10"/>
        </w:rPr>
        <w:t>We assume no responsibility for the content of websites linked on the Website. Such links should not be interpreted as endorsement by us of those linked websites. We will not be liable for any loss or damage that may arise from your use of them.</w:t>
      </w:r>
    </w:p>
    <w:p w:rsidR="00715561" w:rsidRPr="00786950" w:rsidRDefault="00715561" w:rsidP="00715561">
      <w:pPr>
        <w:spacing w:line="240" w:lineRule="auto"/>
        <w:contextualSpacing/>
        <w:rPr>
          <w:rFonts w:ascii="Times New Roman" w:hAnsi="Times New Roman" w:cs="Times New Roman"/>
          <w:sz w:val="10"/>
          <w:szCs w:val="10"/>
        </w:rPr>
      </w:pPr>
      <w:r w:rsidRPr="00786950">
        <w:rPr>
          <w:rFonts w:ascii="Times New Roman" w:hAnsi="Times New Roman" w:cs="Times New Roman"/>
          <w:sz w:val="10"/>
          <w:szCs w:val="10"/>
        </w:rPr>
        <w:t>Although we make reasonable efforts to update the information on the Website, we make no representations, warranties or guarantees, whether express or implied that the Content on the Website is accurate, complete or up-to-date.</w:t>
      </w:r>
    </w:p>
    <w:p w:rsidR="00715561" w:rsidRPr="00786950" w:rsidRDefault="00715561" w:rsidP="00715561">
      <w:pPr>
        <w:pStyle w:val="1stIntroHeadings"/>
        <w:spacing w:line="240" w:lineRule="auto"/>
        <w:contextualSpacing/>
        <w:rPr>
          <w:sz w:val="10"/>
          <w:szCs w:val="10"/>
        </w:rPr>
      </w:pPr>
      <w:r w:rsidRPr="00786950">
        <w:rPr>
          <w:sz w:val="10"/>
          <w:szCs w:val="10"/>
        </w:rPr>
        <w:t>Disclaimer of warranties</w:t>
      </w:r>
    </w:p>
    <w:p w:rsidR="00715561" w:rsidRPr="00786950" w:rsidRDefault="00715561" w:rsidP="00715561">
      <w:pPr>
        <w:pStyle w:val="NormalSpaced"/>
        <w:spacing w:line="240" w:lineRule="auto"/>
        <w:contextualSpacing/>
        <w:rPr>
          <w:sz w:val="10"/>
          <w:szCs w:val="10"/>
        </w:rPr>
      </w:pPr>
      <w:r w:rsidRPr="00786950">
        <w:rPr>
          <w:sz w:val="10"/>
          <w:szCs w:val="10"/>
        </w:rPr>
        <w:t>You expressly acknowledge and agree that use of the Services and the Website is at your sole risk. The Services and the Website are provided on an “as is” and “as available” basis. Although we make best efforts to procure high quality Services to all our users, to the fullest extent allowed by law, we expressly disclaim all warranties and conditions of any kind, whether express or implied, including, but not limited to the warranties of merchantability or fitness for a particular purpose. The contents of the Services or the Website may contain bugs, errors, problems or other limitations. We assume no liability or responsibility for any errors or omissions in Content.</w:t>
      </w:r>
    </w:p>
    <w:p w:rsidR="00715561" w:rsidRPr="00786950" w:rsidRDefault="00715561" w:rsidP="00715561">
      <w:pPr>
        <w:pStyle w:val="NormalSpaced"/>
        <w:spacing w:line="240" w:lineRule="auto"/>
        <w:contextualSpacing/>
        <w:rPr>
          <w:sz w:val="10"/>
          <w:szCs w:val="10"/>
        </w:rPr>
      </w:pPr>
      <w:r w:rsidRPr="00786950">
        <w:rPr>
          <w:sz w:val="10"/>
          <w:szCs w:val="10"/>
        </w:rPr>
        <w:t>We are not responsible for the Content uploaded by you on the Website. We are not responsible for any direct or indirect damages or losses caused to you, including without limitation, lost profits, business interruption or other loss resulting from use of or reliance in any way on anything available on the Website. It is solely your responsibility to evaluate the accuracy, reliability, completeness and usefulness of Content available on the Website that is used by you.</w:t>
      </w:r>
    </w:p>
    <w:p w:rsidR="00715561" w:rsidRPr="00786950" w:rsidRDefault="00715561" w:rsidP="00715561">
      <w:pPr>
        <w:pStyle w:val="NormalSpaced"/>
        <w:spacing w:line="240" w:lineRule="auto"/>
        <w:contextualSpacing/>
        <w:rPr>
          <w:sz w:val="10"/>
          <w:szCs w:val="10"/>
        </w:rPr>
      </w:pPr>
      <w:r w:rsidRPr="00786950">
        <w:rPr>
          <w:sz w:val="10"/>
          <w:szCs w:val="10"/>
        </w:rPr>
        <w:t>We make no warranty that the Services or Website will meet your requirements or that the Services or your access to the Website will be uninterrupted, timely, accurate or reliable; nor do we make any warranty as to any information that may be obtained through the Services or Website. In case there is any defect in any software being used for the provision of the Services, we do not make any warranty that defects in such software will be corrected. You understand and agree that any material and/or data downloaded or otherwise obtained through use of the Services or Website is done at your own discretion and risk and you will be solely responsible for any damage to your computer system or loss of data that results from the download of such material or data.</w:t>
      </w:r>
    </w:p>
    <w:p w:rsidR="00715561" w:rsidRPr="00786950" w:rsidRDefault="00715561" w:rsidP="00715561">
      <w:pPr>
        <w:pStyle w:val="NormalSpaced"/>
        <w:spacing w:line="240" w:lineRule="auto"/>
        <w:contextualSpacing/>
        <w:rPr>
          <w:sz w:val="10"/>
          <w:szCs w:val="10"/>
        </w:rPr>
      </w:pPr>
      <w:r w:rsidRPr="00786950">
        <w:rPr>
          <w:sz w:val="10"/>
          <w:szCs w:val="10"/>
        </w:rPr>
        <w:t>No advice or information, whether oral or written, obtained by you from the Services or Website or through the Service(s) or Website shall create any warranty not expressly made herein.</w:t>
      </w:r>
    </w:p>
    <w:p w:rsidR="00715561" w:rsidRPr="00786950" w:rsidRDefault="00715561" w:rsidP="00715561">
      <w:pPr>
        <w:pStyle w:val="1stIntroHeadings"/>
        <w:spacing w:line="240" w:lineRule="auto"/>
        <w:contextualSpacing/>
        <w:rPr>
          <w:sz w:val="10"/>
          <w:szCs w:val="10"/>
        </w:rPr>
      </w:pPr>
      <w:r w:rsidRPr="00786950">
        <w:rPr>
          <w:sz w:val="10"/>
          <w:szCs w:val="10"/>
        </w:rPr>
        <w:t>Limitation of our liability</w:t>
      </w:r>
    </w:p>
    <w:p w:rsidR="00715561" w:rsidRPr="00786950" w:rsidRDefault="00715561" w:rsidP="00715561">
      <w:pPr>
        <w:pStyle w:val="NormalSpaced"/>
        <w:spacing w:line="240" w:lineRule="auto"/>
        <w:contextualSpacing/>
        <w:rPr>
          <w:sz w:val="10"/>
          <w:szCs w:val="10"/>
        </w:rPr>
      </w:pPr>
      <w:r w:rsidRPr="00786950">
        <w:rPr>
          <w:sz w:val="10"/>
          <w:szCs w:val="10"/>
        </w:rPr>
        <w:t xml:space="preserve">To the extent permitted by law, we exclude all conditions, warranties, representations or other terms which may apply to the Website or any content on it including any information related to the products listed on the Website or the Website itself or Services, whether express or implied.  </w:t>
      </w:r>
    </w:p>
    <w:p w:rsidR="00715561" w:rsidRPr="00786950" w:rsidRDefault="00715561" w:rsidP="00715561">
      <w:pPr>
        <w:pStyle w:val="NormalSpaced"/>
        <w:spacing w:line="240" w:lineRule="auto"/>
        <w:contextualSpacing/>
        <w:rPr>
          <w:sz w:val="10"/>
          <w:szCs w:val="10"/>
        </w:rPr>
      </w:pPr>
      <w:r w:rsidRPr="00786950">
        <w:rPr>
          <w:sz w:val="10"/>
          <w:szCs w:val="10"/>
        </w:rPr>
        <w:t>We will not be liable to any user for any direct, indirect or consequential loss or damage, whether in contract, tort (including negligence), breach of statutory duty, or otherwise, even if foreseeable, arising under or in connection with:</w:t>
      </w:r>
    </w:p>
    <w:p w:rsidR="00715561" w:rsidRPr="00786950" w:rsidRDefault="00715561" w:rsidP="00715561">
      <w:pPr>
        <w:pStyle w:val="Bullet1"/>
        <w:spacing w:line="240" w:lineRule="auto"/>
        <w:contextualSpacing/>
        <w:rPr>
          <w:sz w:val="10"/>
          <w:szCs w:val="10"/>
        </w:rPr>
      </w:pPr>
      <w:r w:rsidRPr="00786950">
        <w:rPr>
          <w:sz w:val="10"/>
          <w:szCs w:val="10"/>
        </w:rPr>
        <w:t>use of, or inability to use, the Website; or</w:t>
      </w:r>
    </w:p>
    <w:p w:rsidR="00715561" w:rsidRPr="00786950" w:rsidRDefault="00715561" w:rsidP="00715561">
      <w:pPr>
        <w:pStyle w:val="Bullet1"/>
        <w:spacing w:line="240" w:lineRule="auto"/>
        <w:contextualSpacing/>
        <w:rPr>
          <w:sz w:val="10"/>
          <w:szCs w:val="10"/>
        </w:rPr>
      </w:pPr>
      <w:r w:rsidRPr="00786950">
        <w:rPr>
          <w:sz w:val="10"/>
          <w:szCs w:val="10"/>
        </w:rPr>
        <w:t xml:space="preserve">use of or reliance on any content displayed on the Website. </w:t>
      </w:r>
    </w:p>
    <w:p w:rsidR="00715561" w:rsidRPr="00786950" w:rsidRDefault="00715561" w:rsidP="00715561">
      <w:pPr>
        <w:pStyle w:val="Bullet1"/>
        <w:spacing w:line="240" w:lineRule="auto"/>
        <w:contextualSpacing/>
        <w:rPr>
          <w:sz w:val="10"/>
          <w:szCs w:val="10"/>
        </w:rPr>
      </w:pPr>
      <w:r w:rsidRPr="00786950">
        <w:rPr>
          <w:sz w:val="10"/>
          <w:szCs w:val="10"/>
        </w:rPr>
        <w:t>use of the products or services provided through the Website</w:t>
      </w:r>
    </w:p>
    <w:p w:rsidR="00715561" w:rsidRPr="00786950" w:rsidRDefault="00715561" w:rsidP="00715561">
      <w:pPr>
        <w:pStyle w:val="NormalSpaced"/>
        <w:spacing w:line="240" w:lineRule="auto"/>
        <w:contextualSpacing/>
        <w:rPr>
          <w:sz w:val="10"/>
          <w:szCs w:val="10"/>
        </w:rPr>
      </w:pPr>
      <w:r w:rsidRPr="00786950">
        <w:rPr>
          <w:sz w:val="10"/>
          <w:szCs w:val="10"/>
        </w:rPr>
        <w:t>If you are a business user, please note that in particular, we will not be liable for:</w:t>
      </w:r>
    </w:p>
    <w:p w:rsidR="00715561" w:rsidRPr="00786950" w:rsidRDefault="00715561" w:rsidP="00715561">
      <w:pPr>
        <w:pStyle w:val="Bullet1"/>
        <w:spacing w:line="240" w:lineRule="auto"/>
        <w:contextualSpacing/>
        <w:rPr>
          <w:sz w:val="10"/>
          <w:szCs w:val="10"/>
        </w:rPr>
      </w:pPr>
      <w:r w:rsidRPr="00786950">
        <w:rPr>
          <w:sz w:val="10"/>
          <w:szCs w:val="10"/>
        </w:rPr>
        <w:t>loss of profits, sales, business, business opportunity or revenue;</w:t>
      </w:r>
    </w:p>
    <w:p w:rsidR="00715561" w:rsidRPr="00786950" w:rsidRDefault="00715561" w:rsidP="00715561">
      <w:pPr>
        <w:pStyle w:val="Bullet1"/>
        <w:spacing w:line="240" w:lineRule="auto"/>
        <w:contextualSpacing/>
        <w:rPr>
          <w:sz w:val="10"/>
          <w:szCs w:val="10"/>
        </w:rPr>
      </w:pPr>
      <w:r w:rsidRPr="00786950">
        <w:rPr>
          <w:sz w:val="10"/>
          <w:szCs w:val="10"/>
        </w:rPr>
        <w:t>business interruption;</w:t>
      </w:r>
    </w:p>
    <w:p w:rsidR="00715561" w:rsidRPr="00786950" w:rsidRDefault="00715561" w:rsidP="00715561">
      <w:pPr>
        <w:pStyle w:val="Bullet1"/>
        <w:spacing w:line="240" w:lineRule="auto"/>
        <w:contextualSpacing/>
        <w:rPr>
          <w:sz w:val="10"/>
          <w:szCs w:val="10"/>
        </w:rPr>
      </w:pPr>
      <w:r w:rsidRPr="00786950">
        <w:rPr>
          <w:sz w:val="10"/>
          <w:szCs w:val="10"/>
        </w:rPr>
        <w:t>loss of anticipated savings;</w:t>
      </w:r>
    </w:p>
    <w:p w:rsidR="00715561" w:rsidRPr="00786950" w:rsidRDefault="00715561" w:rsidP="00715561">
      <w:pPr>
        <w:pStyle w:val="Bullet1"/>
        <w:spacing w:line="240" w:lineRule="auto"/>
        <w:contextualSpacing/>
        <w:rPr>
          <w:sz w:val="10"/>
          <w:szCs w:val="10"/>
        </w:rPr>
      </w:pPr>
      <w:r w:rsidRPr="00786950">
        <w:rPr>
          <w:sz w:val="10"/>
          <w:szCs w:val="10"/>
        </w:rPr>
        <w:t>loss of business opportunity, goodwill or reputation; or</w:t>
      </w:r>
    </w:p>
    <w:p w:rsidR="00715561" w:rsidRPr="00786950" w:rsidRDefault="00715561" w:rsidP="00715561">
      <w:pPr>
        <w:pStyle w:val="NormalSpaced"/>
        <w:spacing w:line="240" w:lineRule="auto"/>
        <w:contextualSpacing/>
        <w:rPr>
          <w:sz w:val="10"/>
          <w:szCs w:val="10"/>
        </w:rPr>
      </w:pPr>
      <w:r w:rsidRPr="00786950">
        <w:rPr>
          <w:sz w:val="10"/>
          <w:szCs w:val="10"/>
        </w:rPr>
        <w:t>Please note that we only provide the Website for domestic and private use. You agree not to use the Website for any commercial or business purposes without obtaining a legally valid license to do so in accordance with these Terms.</w:t>
      </w:r>
    </w:p>
    <w:p w:rsidR="00715561" w:rsidRPr="00786950" w:rsidRDefault="00715561" w:rsidP="00715561">
      <w:pPr>
        <w:pStyle w:val="1stIntroHeadings"/>
        <w:spacing w:line="240" w:lineRule="auto"/>
        <w:contextualSpacing/>
        <w:rPr>
          <w:sz w:val="10"/>
          <w:szCs w:val="10"/>
        </w:rPr>
      </w:pPr>
      <w:r w:rsidRPr="00786950">
        <w:rPr>
          <w:sz w:val="10"/>
          <w:szCs w:val="10"/>
        </w:rPr>
        <w:t>Electronic communications</w:t>
      </w:r>
    </w:p>
    <w:p w:rsidR="00715561" w:rsidRPr="00786950" w:rsidRDefault="00715561" w:rsidP="00715561">
      <w:pPr>
        <w:pStyle w:val="NormalSpaced"/>
        <w:spacing w:line="240" w:lineRule="auto"/>
        <w:contextualSpacing/>
        <w:rPr>
          <w:sz w:val="10"/>
          <w:szCs w:val="10"/>
        </w:rPr>
      </w:pPr>
      <w:r w:rsidRPr="00786950">
        <w:rPr>
          <w:sz w:val="10"/>
          <w:szCs w:val="10"/>
        </w:rPr>
        <w:t xml:space="preserve">When you visit this Website or send e-mails to us, you are communicating with us electronically. You consent to receive communications from us electronically. We will communicate with you by e-mail or by posting notices on this Website. You agree that all agreements, notices, disclosures and other communications that we provide to you electronically satisfy any legal requirement that such communications be in writing. You agree that in case there are any changes in any information provided by you to us, including your e-mail address and other contact details, you will be solely responsible to update them regularly. If we send any communication by e-mail, it shall be sent to your e-mail address available on the records created by you on the Website and it shall be deemed to have been received by you once it is reflected as sent in the outbox of our e-mail id. </w:t>
      </w:r>
    </w:p>
    <w:p w:rsidR="00715561" w:rsidRPr="00D61190" w:rsidRDefault="00715561" w:rsidP="00DA29D1"/>
    <w:sectPr w:rsidR="00715561" w:rsidRPr="00D61190" w:rsidSect="00A72521">
      <w:headerReference w:type="default" r:id="rId14"/>
      <w:footerReference w:type="default" r:id="rId15"/>
      <w:headerReference w:type="firs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3FEF" w:rsidRDefault="00463FEF" w:rsidP="00B2023F">
      <w:pPr>
        <w:spacing w:after="0" w:line="240" w:lineRule="auto"/>
      </w:pPr>
      <w:r>
        <w:separator/>
      </w:r>
    </w:p>
  </w:endnote>
  <w:endnote w:type="continuationSeparator" w:id="1">
    <w:p w:rsidR="00463FEF" w:rsidRDefault="00463FEF" w:rsidP="00B202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0967727"/>
      <w:docPartObj>
        <w:docPartGallery w:val="Page Numbers (Bottom of Page)"/>
        <w:docPartUnique/>
      </w:docPartObj>
    </w:sdtPr>
    <w:sdtEndPr>
      <w:rPr>
        <w:color w:val="7F7F7F" w:themeColor="background1" w:themeShade="7F"/>
        <w:spacing w:val="60"/>
      </w:rPr>
    </w:sdtEndPr>
    <w:sdtContent>
      <w:p w:rsidR="00A72521" w:rsidRDefault="009452F9">
        <w:pPr>
          <w:pStyle w:val="Footer"/>
          <w:pBdr>
            <w:top w:val="single" w:sz="4" w:space="1" w:color="D9D9D9" w:themeColor="background1" w:themeShade="D9"/>
          </w:pBdr>
          <w:jc w:val="right"/>
        </w:pPr>
        <w:fldSimple w:instr=" PAGE   \* MERGEFORMAT ">
          <w:r w:rsidR="00AF3A7C">
            <w:rPr>
              <w:noProof/>
            </w:rPr>
            <w:t>7</w:t>
          </w:r>
        </w:fldSimple>
        <w:r w:rsidR="00A72521">
          <w:t xml:space="preserve"> | </w:t>
        </w:r>
        <w:r w:rsidR="00A72521">
          <w:rPr>
            <w:color w:val="7F7F7F" w:themeColor="background1" w:themeShade="7F"/>
            <w:spacing w:val="60"/>
          </w:rPr>
          <w:t>Page</w:t>
        </w:r>
      </w:p>
    </w:sdtContent>
  </w:sdt>
  <w:p w:rsidR="00A72521" w:rsidRDefault="00A725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3FEF" w:rsidRDefault="00463FEF" w:rsidP="00B2023F">
      <w:pPr>
        <w:spacing w:after="0" w:line="240" w:lineRule="auto"/>
      </w:pPr>
      <w:r>
        <w:separator/>
      </w:r>
    </w:p>
  </w:footnote>
  <w:footnote w:type="continuationSeparator" w:id="1">
    <w:p w:rsidR="00463FEF" w:rsidRDefault="00463FEF" w:rsidP="00B202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521" w:rsidRDefault="00A72521">
    <w:pPr>
      <w:pStyle w:val="Header"/>
    </w:pPr>
    <w:r w:rsidRPr="00A72521">
      <w:rPr>
        <w:noProof/>
      </w:rPr>
      <w:drawing>
        <wp:inline distT="0" distB="0" distL="0" distR="0">
          <wp:extent cx="2091848" cy="520065"/>
          <wp:effectExtent l="19050" t="0" r="3652" b="0"/>
          <wp:docPr id="7" name="Picture 3" descr="Yfi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fin Logo.png"/>
                  <pic:cNvPicPr/>
                </pic:nvPicPr>
                <pic:blipFill>
                  <a:blip r:embed="rId1"/>
                  <a:stretch>
                    <a:fillRect/>
                  </a:stretch>
                </pic:blipFill>
                <pic:spPr>
                  <a:xfrm>
                    <a:off x="0" y="0"/>
                    <a:ext cx="2091848" cy="520065"/>
                  </a:xfrm>
                  <a:prstGeom prst="rect">
                    <a:avLst/>
                  </a:prstGeom>
                </pic:spPr>
              </pic:pic>
            </a:graphicData>
          </a:graphic>
        </wp:inline>
      </w:drawing>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C38" w:rsidRDefault="00DB2C38" w:rsidP="00DB2C38">
    <w:pPr>
      <w:pStyle w:val="Header"/>
      <w:ind w:left="-851" w:firstLine="284"/>
    </w:pPr>
    <w:r w:rsidRPr="00DB2C38">
      <w:rPr>
        <w:noProof/>
      </w:rPr>
      <w:drawing>
        <wp:inline distT="0" distB="0" distL="0" distR="0">
          <wp:extent cx="2091848" cy="520065"/>
          <wp:effectExtent l="19050" t="0" r="3652" b="0"/>
          <wp:docPr id="6" name="Picture 3" descr="Yfi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fin Logo.png"/>
                  <pic:cNvPicPr/>
                </pic:nvPicPr>
                <pic:blipFill>
                  <a:blip r:embed="rId1"/>
                  <a:stretch>
                    <a:fillRect/>
                  </a:stretch>
                </pic:blipFill>
                <pic:spPr>
                  <a:xfrm>
                    <a:off x="0" y="0"/>
                    <a:ext cx="2091848" cy="52006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46B05"/>
    <w:multiLevelType w:val="hybridMultilevel"/>
    <w:tmpl w:val="F3C8D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9E90F32"/>
    <w:multiLevelType w:val="hybridMultilevel"/>
    <w:tmpl w:val="05F04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6807E79"/>
    <w:multiLevelType w:val="hybridMultilevel"/>
    <w:tmpl w:val="9C7CE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A14466B"/>
    <w:multiLevelType w:val="hybridMultilevel"/>
    <w:tmpl w:val="5C64FE28"/>
    <w:lvl w:ilvl="0" w:tplc="C83408AC">
      <w:start w:val="1"/>
      <w:numFmt w:val="bullet"/>
      <w:pStyle w:val="Bullet1"/>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drawingGridHorizontalSpacing w:val="110"/>
  <w:displayHorizontalDrawingGridEvery w:val="2"/>
  <w:characterSpacingControl w:val="doNotCompress"/>
  <w:hdrShapeDefaults>
    <o:shapedefaults v:ext="edit" spidmax="17410">
      <o:colormenu v:ext="edit" fillcolor="none [2092]"/>
    </o:shapedefaults>
  </w:hdrShapeDefaults>
  <w:footnotePr>
    <w:footnote w:id="0"/>
    <w:footnote w:id="1"/>
  </w:footnotePr>
  <w:endnotePr>
    <w:endnote w:id="0"/>
    <w:endnote w:id="1"/>
  </w:endnotePr>
  <w:compat>
    <w:useFELayout/>
  </w:compat>
  <w:rsids>
    <w:rsidRoot w:val="00D61190"/>
    <w:rsid w:val="0001653C"/>
    <w:rsid w:val="00036EEB"/>
    <w:rsid w:val="000453B8"/>
    <w:rsid w:val="00053608"/>
    <w:rsid w:val="00082B95"/>
    <w:rsid w:val="00084C2C"/>
    <w:rsid w:val="000A37CA"/>
    <w:rsid w:val="000A58C7"/>
    <w:rsid w:val="000A70D1"/>
    <w:rsid w:val="000C49A4"/>
    <w:rsid w:val="000D69F7"/>
    <w:rsid w:val="00107692"/>
    <w:rsid w:val="00150554"/>
    <w:rsid w:val="001762AF"/>
    <w:rsid w:val="0023760A"/>
    <w:rsid w:val="00267C89"/>
    <w:rsid w:val="00293A5B"/>
    <w:rsid w:val="002B4CA5"/>
    <w:rsid w:val="002D4881"/>
    <w:rsid w:val="003200AF"/>
    <w:rsid w:val="003414D7"/>
    <w:rsid w:val="00363308"/>
    <w:rsid w:val="003724E4"/>
    <w:rsid w:val="00393F07"/>
    <w:rsid w:val="003B58D6"/>
    <w:rsid w:val="00413CE3"/>
    <w:rsid w:val="00421330"/>
    <w:rsid w:val="0043127F"/>
    <w:rsid w:val="00463FEF"/>
    <w:rsid w:val="004D0A93"/>
    <w:rsid w:val="004E3D95"/>
    <w:rsid w:val="004F1E1F"/>
    <w:rsid w:val="00502E31"/>
    <w:rsid w:val="00521F8C"/>
    <w:rsid w:val="00532884"/>
    <w:rsid w:val="00602254"/>
    <w:rsid w:val="00642E07"/>
    <w:rsid w:val="00655542"/>
    <w:rsid w:val="00663595"/>
    <w:rsid w:val="006952AF"/>
    <w:rsid w:val="006B10AA"/>
    <w:rsid w:val="006B63DB"/>
    <w:rsid w:val="006F2D0E"/>
    <w:rsid w:val="007029CB"/>
    <w:rsid w:val="00711296"/>
    <w:rsid w:val="00713041"/>
    <w:rsid w:val="00715561"/>
    <w:rsid w:val="0072001B"/>
    <w:rsid w:val="007514B3"/>
    <w:rsid w:val="0076407F"/>
    <w:rsid w:val="00784633"/>
    <w:rsid w:val="00796F98"/>
    <w:rsid w:val="007C7120"/>
    <w:rsid w:val="008428E7"/>
    <w:rsid w:val="00861373"/>
    <w:rsid w:val="00895AD9"/>
    <w:rsid w:val="008C3195"/>
    <w:rsid w:val="008E511A"/>
    <w:rsid w:val="009368CF"/>
    <w:rsid w:val="00942AC9"/>
    <w:rsid w:val="009452F9"/>
    <w:rsid w:val="00984F15"/>
    <w:rsid w:val="009C730F"/>
    <w:rsid w:val="00A32856"/>
    <w:rsid w:val="00A47D47"/>
    <w:rsid w:val="00A72521"/>
    <w:rsid w:val="00A873D5"/>
    <w:rsid w:val="00AF3A7C"/>
    <w:rsid w:val="00AF78D9"/>
    <w:rsid w:val="00B057EE"/>
    <w:rsid w:val="00B177C1"/>
    <w:rsid w:val="00B2023F"/>
    <w:rsid w:val="00B504C8"/>
    <w:rsid w:val="00B77F98"/>
    <w:rsid w:val="00B8474F"/>
    <w:rsid w:val="00B91A3E"/>
    <w:rsid w:val="00BD1231"/>
    <w:rsid w:val="00BD3E31"/>
    <w:rsid w:val="00BF4289"/>
    <w:rsid w:val="00C23B97"/>
    <w:rsid w:val="00C45CB8"/>
    <w:rsid w:val="00C93904"/>
    <w:rsid w:val="00CA085F"/>
    <w:rsid w:val="00CC4ABF"/>
    <w:rsid w:val="00D01338"/>
    <w:rsid w:val="00D25D76"/>
    <w:rsid w:val="00D61190"/>
    <w:rsid w:val="00D73832"/>
    <w:rsid w:val="00DA29D1"/>
    <w:rsid w:val="00DB2C38"/>
    <w:rsid w:val="00DE2D0B"/>
    <w:rsid w:val="00E0590F"/>
    <w:rsid w:val="00E25AFB"/>
    <w:rsid w:val="00E32F6E"/>
    <w:rsid w:val="00E71422"/>
    <w:rsid w:val="00EB07B1"/>
    <w:rsid w:val="00EB1DA9"/>
    <w:rsid w:val="00ED780D"/>
    <w:rsid w:val="00F24CC2"/>
    <w:rsid w:val="00F51141"/>
    <w:rsid w:val="00F73C1E"/>
    <w:rsid w:val="00FB4FCA"/>
    <w:rsid w:val="00FF33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209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6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190"/>
    <w:rPr>
      <w:rFonts w:ascii="Tahoma" w:hAnsi="Tahoma" w:cs="Tahoma"/>
      <w:sz w:val="16"/>
      <w:szCs w:val="16"/>
    </w:rPr>
  </w:style>
  <w:style w:type="paragraph" w:styleId="Header">
    <w:name w:val="header"/>
    <w:basedOn w:val="Normal"/>
    <w:link w:val="HeaderChar"/>
    <w:uiPriority w:val="99"/>
    <w:semiHidden/>
    <w:unhideWhenUsed/>
    <w:rsid w:val="00B2023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2023F"/>
  </w:style>
  <w:style w:type="paragraph" w:styleId="Footer">
    <w:name w:val="footer"/>
    <w:basedOn w:val="Normal"/>
    <w:link w:val="FooterChar"/>
    <w:uiPriority w:val="99"/>
    <w:unhideWhenUsed/>
    <w:rsid w:val="00B202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23F"/>
  </w:style>
  <w:style w:type="table" w:styleId="TableGrid">
    <w:name w:val="Table Grid"/>
    <w:basedOn w:val="TableNormal"/>
    <w:uiPriority w:val="59"/>
    <w:rsid w:val="000D69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BF42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93F0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93F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93F0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393F0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393F0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1-Accent2">
    <w:name w:val="Medium Shading 1 Accent 2"/>
    <w:basedOn w:val="TableNormal"/>
    <w:uiPriority w:val="63"/>
    <w:rsid w:val="00393F0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73C1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084C2C"/>
    <w:pPr>
      <w:spacing w:after="0" w:line="240" w:lineRule="auto"/>
    </w:pPr>
    <w:rPr>
      <w:lang w:val="en-US" w:eastAsia="en-US"/>
    </w:rPr>
  </w:style>
  <w:style w:type="character" w:customStyle="1" w:styleId="NoSpacingChar">
    <w:name w:val="No Spacing Char"/>
    <w:basedOn w:val="DefaultParagraphFont"/>
    <w:link w:val="NoSpacing"/>
    <w:uiPriority w:val="1"/>
    <w:rsid w:val="00084C2C"/>
    <w:rPr>
      <w:lang w:val="en-US" w:eastAsia="en-US"/>
    </w:rPr>
  </w:style>
  <w:style w:type="paragraph" w:styleId="ListParagraph">
    <w:name w:val="List Paragraph"/>
    <w:basedOn w:val="Normal"/>
    <w:uiPriority w:val="34"/>
    <w:qFormat/>
    <w:rsid w:val="00E0590F"/>
    <w:pPr>
      <w:ind w:left="720"/>
      <w:contextualSpacing/>
    </w:pPr>
  </w:style>
  <w:style w:type="paragraph" w:customStyle="1" w:styleId="1stIntroHeadings">
    <w:name w:val="1stIntroHeadings"/>
    <w:basedOn w:val="Normal"/>
    <w:next w:val="Normal"/>
    <w:rsid w:val="00715561"/>
    <w:pPr>
      <w:tabs>
        <w:tab w:val="left" w:pos="709"/>
      </w:tabs>
      <w:spacing w:before="120" w:after="120" w:line="300" w:lineRule="atLeast"/>
      <w:jc w:val="both"/>
    </w:pPr>
    <w:rPr>
      <w:rFonts w:ascii="Times New Roman" w:eastAsia="Times New Roman" w:hAnsi="Times New Roman" w:cs="Times New Roman"/>
      <w:b/>
      <w:smallCaps/>
      <w:sz w:val="24"/>
      <w:szCs w:val="20"/>
      <w:lang w:val="en-GB" w:eastAsia="en-US"/>
    </w:rPr>
  </w:style>
  <w:style w:type="paragraph" w:customStyle="1" w:styleId="NormalSpaced">
    <w:name w:val="NormalSpaced"/>
    <w:basedOn w:val="Normal"/>
    <w:next w:val="Normal"/>
    <w:rsid w:val="00715561"/>
    <w:pPr>
      <w:spacing w:after="240" w:line="300" w:lineRule="atLeast"/>
      <w:jc w:val="both"/>
    </w:pPr>
    <w:rPr>
      <w:rFonts w:ascii="Times New Roman" w:eastAsia="Times New Roman" w:hAnsi="Times New Roman" w:cs="Times New Roman"/>
      <w:szCs w:val="20"/>
      <w:lang w:val="en-GB" w:eastAsia="en-US"/>
    </w:rPr>
  </w:style>
  <w:style w:type="paragraph" w:customStyle="1" w:styleId="Bullet1">
    <w:name w:val="Bullet1"/>
    <w:basedOn w:val="Normal"/>
    <w:rsid w:val="00715561"/>
    <w:pPr>
      <w:numPr>
        <w:numId w:val="4"/>
      </w:numPr>
      <w:spacing w:after="240" w:line="300" w:lineRule="atLeast"/>
      <w:jc w:val="both"/>
    </w:pPr>
    <w:rPr>
      <w:rFonts w:ascii="Times New Roman" w:eastAsia="Times New Roman" w:hAnsi="Times New Roman" w:cs="Times New Roman"/>
      <w:szCs w:val="20"/>
      <w:lang w:val="en-GB" w:eastAsia="en-US"/>
    </w:rPr>
  </w:style>
</w:styles>
</file>

<file path=word/webSettings.xml><?xml version="1.0" encoding="utf-8"?>
<w:webSettings xmlns:r="http://schemas.openxmlformats.org/officeDocument/2006/relationships" xmlns:w="http://schemas.openxmlformats.org/wordprocessingml/2006/main">
  <w:divs>
    <w:div w:id="77211381">
      <w:bodyDiv w:val="1"/>
      <w:marLeft w:val="0"/>
      <w:marRight w:val="0"/>
      <w:marTop w:val="0"/>
      <w:marBottom w:val="0"/>
      <w:divBdr>
        <w:top w:val="none" w:sz="0" w:space="0" w:color="auto"/>
        <w:left w:val="none" w:sz="0" w:space="0" w:color="auto"/>
        <w:bottom w:val="none" w:sz="0" w:space="0" w:color="auto"/>
        <w:right w:val="none" w:sz="0" w:space="0" w:color="auto"/>
      </w:divBdr>
    </w:div>
    <w:div w:id="236718259">
      <w:bodyDiv w:val="1"/>
      <w:marLeft w:val="0"/>
      <w:marRight w:val="0"/>
      <w:marTop w:val="0"/>
      <w:marBottom w:val="0"/>
      <w:divBdr>
        <w:top w:val="none" w:sz="0" w:space="0" w:color="auto"/>
        <w:left w:val="none" w:sz="0" w:space="0" w:color="auto"/>
        <w:bottom w:val="none" w:sz="0" w:space="0" w:color="auto"/>
        <w:right w:val="none" w:sz="0" w:space="0" w:color="auto"/>
      </w:divBdr>
    </w:div>
    <w:div w:id="290676359">
      <w:bodyDiv w:val="1"/>
      <w:marLeft w:val="0"/>
      <w:marRight w:val="0"/>
      <w:marTop w:val="0"/>
      <w:marBottom w:val="0"/>
      <w:divBdr>
        <w:top w:val="none" w:sz="0" w:space="0" w:color="auto"/>
        <w:left w:val="none" w:sz="0" w:space="0" w:color="auto"/>
        <w:bottom w:val="none" w:sz="0" w:space="0" w:color="auto"/>
        <w:right w:val="none" w:sz="0" w:space="0" w:color="auto"/>
      </w:divBdr>
    </w:div>
    <w:div w:id="299044600">
      <w:bodyDiv w:val="1"/>
      <w:marLeft w:val="0"/>
      <w:marRight w:val="0"/>
      <w:marTop w:val="0"/>
      <w:marBottom w:val="0"/>
      <w:divBdr>
        <w:top w:val="none" w:sz="0" w:space="0" w:color="auto"/>
        <w:left w:val="none" w:sz="0" w:space="0" w:color="auto"/>
        <w:bottom w:val="none" w:sz="0" w:space="0" w:color="auto"/>
        <w:right w:val="none" w:sz="0" w:space="0" w:color="auto"/>
      </w:divBdr>
    </w:div>
    <w:div w:id="349139790">
      <w:bodyDiv w:val="1"/>
      <w:marLeft w:val="0"/>
      <w:marRight w:val="0"/>
      <w:marTop w:val="0"/>
      <w:marBottom w:val="0"/>
      <w:divBdr>
        <w:top w:val="none" w:sz="0" w:space="0" w:color="auto"/>
        <w:left w:val="none" w:sz="0" w:space="0" w:color="auto"/>
        <w:bottom w:val="none" w:sz="0" w:space="0" w:color="auto"/>
        <w:right w:val="none" w:sz="0" w:space="0" w:color="auto"/>
      </w:divBdr>
    </w:div>
    <w:div w:id="455298888">
      <w:bodyDiv w:val="1"/>
      <w:marLeft w:val="0"/>
      <w:marRight w:val="0"/>
      <w:marTop w:val="0"/>
      <w:marBottom w:val="0"/>
      <w:divBdr>
        <w:top w:val="none" w:sz="0" w:space="0" w:color="auto"/>
        <w:left w:val="none" w:sz="0" w:space="0" w:color="auto"/>
        <w:bottom w:val="none" w:sz="0" w:space="0" w:color="auto"/>
        <w:right w:val="none" w:sz="0" w:space="0" w:color="auto"/>
      </w:divBdr>
    </w:div>
    <w:div w:id="786966278">
      <w:bodyDiv w:val="1"/>
      <w:marLeft w:val="0"/>
      <w:marRight w:val="0"/>
      <w:marTop w:val="0"/>
      <w:marBottom w:val="0"/>
      <w:divBdr>
        <w:top w:val="none" w:sz="0" w:space="0" w:color="auto"/>
        <w:left w:val="none" w:sz="0" w:space="0" w:color="auto"/>
        <w:bottom w:val="none" w:sz="0" w:space="0" w:color="auto"/>
        <w:right w:val="none" w:sz="0" w:space="0" w:color="auto"/>
      </w:divBdr>
    </w:div>
    <w:div w:id="882250130">
      <w:bodyDiv w:val="1"/>
      <w:marLeft w:val="0"/>
      <w:marRight w:val="0"/>
      <w:marTop w:val="0"/>
      <w:marBottom w:val="0"/>
      <w:divBdr>
        <w:top w:val="none" w:sz="0" w:space="0" w:color="auto"/>
        <w:left w:val="none" w:sz="0" w:space="0" w:color="auto"/>
        <w:bottom w:val="none" w:sz="0" w:space="0" w:color="auto"/>
        <w:right w:val="none" w:sz="0" w:space="0" w:color="auto"/>
      </w:divBdr>
    </w:div>
    <w:div w:id="1566256898">
      <w:bodyDiv w:val="1"/>
      <w:marLeft w:val="0"/>
      <w:marRight w:val="0"/>
      <w:marTop w:val="0"/>
      <w:marBottom w:val="0"/>
      <w:divBdr>
        <w:top w:val="none" w:sz="0" w:space="0" w:color="auto"/>
        <w:left w:val="none" w:sz="0" w:space="0" w:color="auto"/>
        <w:bottom w:val="none" w:sz="0" w:space="0" w:color="auto"/>
        <w:right w:val="none" w:sz="0" w:space="0" w:color="auto"/>
      </w:divBdr>
    </w:div>
    <w:div w:id="1644505439">
      <w:bodyDiv w:val="1"/>
      <w:marLeft w:val="0"/>
      <w:marRight w:val="0"/>
      <w:marTop w:val="0"/>
      <w:marBottom w:val="0"/>
      <w:divBdr>
        <w:top w:val="none" w:sz="0" w:space="0" w:color="auto"/>
        <w:left w:val="none" w:sz="0" w:space="0" w:color="auto"/>
        <w:bottom w:val="none" w:sz="0" w:space="0" w:color="auto"/>
        <w:right w:val="none" w:sz="0" w:space="0" w:color="auto"/>
      </w:divBdr>
    </w:div>
    <w:div w:id="1881282673">
      <w:bodyDiv w:val="1"/>
      <w:marLeft w:val="0"/>
      <w:marRight w:val="0"/>
      <w:marTop w:val="0"/>
      <w:marBottom w:val="0"/>
      <w:divBdr>
        <w:top w:val="none" w:sz="0" w:space="0" w:color="auto"/>
        <w:left w:val="none" w:sz="0" w:space="0" w:color="auto"/>
        <w:bottom w:val="none" w:sz="0" w:space="0" w:color="auto"/>
        <w:right w:val="none" w:sz="0" w:space="0" w:color="auto"/>
      </w:divBdr>
    </w:div>
    <w:div w:id="195069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Hp\Desktop\Asset%20Allocation%20Clients\Asset%20Allocation-%20Amandeep%20Kau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plotArea>
      <c:layout/>
      <c:pieChart>
        <c:varyColors val="1"/>
        <c:ser>
          <c:idx val="0"/>
          <c:order val="0"/>
          <c:tx>
            <c:strRef>
              <c:f>Sheet1!$B$1</c:f>
              <c:strCache>
                <c:ptCount val="1"/>
                <c:pt idx="0">
                  <c:v>Current Asset allocation</c:v>
                </c:pt>
              </c:strCache>
            </c:strRef>
          </c:tx>
          <c:dPt>
            <c:idx val="0"/>
            <c:spPr>
              <a:solidFill>
                <a:schemeClr val="tx1">
                  <a:lumMod val="50000"/>
                  <a:lumOff val="50000"/>
                </a:schemeClr>
              </a:solidFill>
            </c:spPr>
          </c:dPt>
          <c:dPt>
            <c:idx val="1"/>
            <c:spPr>
              <a:solidFill>
                <a:schemeClr val="accent6">
                  <a:lumMod val="75000"/>
                </a:schemeClr>
              </a:solidFill>
            </c:spPr>
          </c:dPt>
          <c:dLbls>
            <c:showVal val="1"/>
            <c:showLeaderLines val="1"/>
          </c:dLbls>
          <c:cat>
            <c:strRef>
              <c:f>Sheet1!$A$2:$A$4</c:f>
              <c:strCache>
                <c:ptCount val="3"/>
                <c:pt idx="0">
                  <c:v>Fixed deposit</c:v>
                </c:pt>
                <c:pt idx="1">
                  <c:v>Recurring deposits</c:v>
                </c:pt>
                <c:pt idx="2">
                  <c:v>Saving Account</c:v>
                </c:pt>
              </c:strCache>
            </c:strRef>
          </c:cat>
          <c:val>
            <c:numRef>
              <c:f>Sheet1!$B$2:$B$4</c:f>
              <c:numCache>
                <c:formatCode>0%</c:formatCode>
                <c:ptCount val="3"/>
                <c:pt idx="0">
                  <c:v>0.49000000000000005</c:v>
                </c:pt>
                <c:pt idx="1">
                  <c:v>0.33000000000000007</c:v>
                </c:pt>
                <c:pt idx="2">
                  <c:v>0.18000000000000002</c:v>
                </c:pt>
              </c:numCache>
            </c:numRef>
          </c:val>
        </c:ser>
        <c:firstSliceAng val="0"/>
      </c:pieChart>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title/>
    <c:plotArea>
      <c:layout/>
      <c:pieChart>
        <c:varyColors val="1"/>
        <c:ser>
          <c:idx val="0"/>
          <c:order val="0"/>
          <c:tx>
            <c:strRef>
              <c:f>Sheet1!$B$1</c:f>
              <c:strCache>
                <c:ptCount val="1"/>
                <c:pt idx="0">
                  <c:v>Recommended Asset Allocation</c:v>
                </c:pt>
              </c:strCache>
            </c:strRef>
          </c:tx>
          <c:dPt>
            <c:idx val="4"/>
            <c:spPr>
              <a:solidFill>
                <a:srgbClr val="92D050"/>
              </a:solidFill>
            </c:spPr>
          </c:dPt>
          <c:dLbls>
            <c:dLbl>
              <c:idx val="3"/>
              <c:spPr/>
              <c:txPr>
                <a:bodyPr/>
                <a:lstStyle/>
                <a:p>
                  <a:pPr>
                    <a:defRPr>
                      <a:solidFill>
                        <a:sysClr val="windowText" lastClr="000000"/>
                      </a:solidFill>
                    </a:defRPr>
                  </a:pPr>
                  <a:endParaRPr lang="en-US"/>
                </a:p>
              </c:txPr>
            </c:dLbl>
            <c:txPr>
              <a:bodyPr/>
              <a:lstStyle/>
              <a:p>
                <a:pPr>
                  <a:defRPr>
                    <a:solidFill>
                      <a:schemeClr val="bg1"/>
                    </a:solidFill>
                  </a:defRPr>
                </a:pPr>
                <a:endParaRPr lang="en-US"/>
              </a:p>
            </c:txPr>
            <c:showVal val="1"/>
            <c:showLeaderLines val="1"/>
          </c:dLbls>
          <c:cat>
            <c:strRef>
              <c:f>Sheet1!$A$2:$A$6</c:f>
              <c:strCache>
                <c:ptCount val="5"/>
                <c:pt idx="0">
                  <c:v>Equity mutual fund</c:v>
                </c:pt>
                <c:pt idx="1">
                  <c:v>Debt/Hybrid funds</c:v>
                </c:pt>
                <c:pt idx="2">
                  <c:v>PPF</c:v>
                </c:pt>
                <c:pt idx="3">
                  <c:v>National Pension scheme (NPS)</c:v>
                </c:pt>
                <c:pt idx="4">
                  <c:v>Savings Account</c:v>
                </c:pt>
              </c:strCache>
            </c:strRef>
          </c:cat>
          <c:val>
            <c:numRef>
              <c:f>Sheet1!$B$2:$B$6</c:f>
              <c:numCache>
                <c:formatCode>0%</c:formatCode>
                <c:ptCount val="5"/>
                <c:pt idx="0">
                  <c:v>0.70000000000000007</c:v>
                </c:pt>
                <c:pt idx="1">
                  <c:v>0.1</c:v>
                </c:pt>
                <c:pt idx="2">
                  <c:v>0.1</c:v>
                </c:pt>
                <c:pt idx="3">
                  <c:v>0.05</c:v>
                </c:pt>
                <c:pt idx="4">
                  <c:v>0.05</c:v>
                </c:pt>
              </c:numCache>
            </c:numRef>
          </c:val>
        </c:ser>
        <c:firstSliceAng val="0"/>
      </c:pieChart>
    </c:plotArea>
    <c:legend>
      <c:legendPos val="r"/>
    </c:legend>
    <c:plotVisOnly val="1"/>
  </c:chart>
  <c:spPr>
    <a:ln w="12700"/>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sz="1600"/>
          </a:pPr>
          <a:endParaRPr lang="en-US"/>
        </a:p>
      </c:txPr>
    </c:title>
    <c:plotArea>
      <c:layout/>
      <c:barChart>
        <c:barDir val="col"/>
        <c:grouping val="clustered"/>
        <c:ser>
          <c:idx val="0"/>
          <c:order val="0"/>
          <c:tx>
            <c:strRef>
              <c:f>Sheet1!$B$1</c:f>
              <c:strCache>
                <c:ptCount val="1"/>
                <c:pt idx="0">
                  <c:v>Your saving profile with current allocation</c:v>
                </c:pt>
              </c:strCache>
            </c:strRef>
          </c:tx>
          <c:dLbls>
            <c:txPr>
              <a:bodyPr/>
              <a:lstStyle/>
              <a:p>
                <a:pPr>
                  <a:defRPr sz="800"/>
                </a:pPr>
                <a:endParaRPr lang="en-US"/>
              </a:p>
            </c:txPr>
            <c:showVal val="1"/>
          </c:dLbls>
          <c:cat>
            <c:numRef>
              <c:f>Sheet1!$A$2:$A$3</c:f>
              <c:numCache>
                <c:formatCode>General</c:formatCode>
                <c:ptCount val="2"/>
                <c:pt idx="0">
                  <c:v>2026</c:v>
                </c:pt>
                <c:pt idx="1">
                  <c:v>2036</c:v>
                </c:pt>
              </c:numCache>
            </c:numRef>
          </c:cat>
          <c:val>
            <c:numRef>
              <c:f>Sheet1!$B$2:$B$3</c:f>
              <c:numCache>
                <c:formatCode>_ * #,##0.00_ ;_ * \-#,##0.00_ ;_ * "-"??_ ;_ @_ </c:formatCode>
                <c:ptCount val="2"/>
                <c:pt idx="0">
                  <c:v>0.60000000000000031</c:v>
                </c:pt>
                <c:pt idx="1">
                  <c:v>1.78</c:v>
                </c:pt>
              </c:numCache>
            </c:numRef>
          </c:val>
        </c:ser>
        <c:axId val="118584832"/>
        <c:axId val="118586752"/>
      </c:barChart>
      <c:catAx>
        <c:axId val="118584832"/>
        <c:scaling>
          <c:orientation val="minMax"/>
        </c:scaling>
        <c:axPos val="b"/>
        <c:numFmt formatCode="General" sourceLinked="1"/>
        <c:tickLblPos val="nextTo"/>
        <c:txPr>
          <a:bodyPr/>
          <a:lstStyle/>
          <a:p>
            <a:pPr>
              <a:defRPr sz="900"/>
            </a:pPr>
            <a:endParaRPr lang="en-US"/>
          </a:p>
        </c:txPr>
        <c:crossAx val="118586752"/>
        <c:crosses val="autoZero"/>
        <c:auto val="1"/>
        <c:lblAlgn val="ctr"/>
        <c:lblOffset val="100"/>
      </c:catAx>
      <c:valAx>
        <c:axId val="118586752"/>
        <c:scaling>
          <c:orientation val="minMax"/>
          <c:max val="2"/>
        </c:scaling>
        <c:axPos val="l"/>
        <c:numFmt formatCode="_ * #,##0.00_ ;_ * \-#,##0.00_ ;_ * &quot;-&quot;??_ ;_ @_ " sourceLinked="1"/>
        <c:tickLblPos val="nextTo"/>
        <c:crossAx val="118584832"/>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sz="1600"/>
          </a:pPr>
          <a:endParaRPr lang="en-US"/>
        </a:p>
      </c:txPr>
    </c:title>
    <c:plotArea>
      <c:layout/>
      <c:barChart>
        <c:barDir val="col"/>
        <c:grouping val="clustered"/>
        <c:ser>
          <c:idx val="0"/>
          <c:order val="0"/>
          <c:tx>
            <c:strRef>
              <c:f>Sheet1!$B$1</c:f>
              <c:strCache>
                <c:ptCount val="1"/>
                <c:pt idx="0">
                  <c:v>Your saving profile with recommended allocation</c:v>
                </c:pt>
              </c:strCache>
            </c:strRef>
          </c:tx>
          <c:dLbls>
            <c:txPr>
              <a:bodyPr/>
              <a:lstStyle/>
              <a:p>
                <a:pPr>
                  <a:defRPr sz="800"/>
                </a:pPr>
                <a:endParaRPr lang="en-US"/>
              </a:p>
            </c:txPr>
            <c:showVal val="1"/>
          </c:dLbls>
          <c:cat>
            <c:numRef>
              <c:f>Sheet1!$A$2:$A$3</c:f>
              <c:numCache>
                <c:formatCode>General</c:formatCode>
                <c:ptCount val="2"/>
                <c:pt idx="0">
                  <c:v>2026</c:v>
                </c:pt>
                <c:pt idx="1">
                  <c:v>2036</c:v>
                </c:pt>
              </c:numCache>
            </c:numRef>
          </c:cat>
          <c:val>
            <c:numRef>
              <c:f>Sheet1!$B$2:$B$3</c:f>
              <c:numCache>
                <c:formatCode>_ * #,##0.00_ ;_ * \-#,##0.00_ ;_ * "-"??_ ;_ @_ </c:formatCode>
                <c:ptCount val="2"/>
                <c:pt idx="0">
                  <c:v>0.77000000000000035</c:v>
                </c:pt>
                <c:pt idx="1">
                  <c:v>3.1</c:v>
                </c:pt>
              </c:numCache>
            </c:numRef>
          </c:val>
        </c:ser>
        <c:axId val="127799680"/>
        <c:axId val="127801216"/>
      </c:barChart>
      <c:catAx>
        <c:axId val="127799680"/>
        <c:scaling>
          <c:orientation val="minMax"/>
        </c:scaling>
        <c:axPos val="b"/>
        <c:numFmt formatCode="General" sourceLinked="1"/>
        <c:tickLblPos val="nextTo"/>
        <c:crossAx val="127801216"/>
        <c:crosses val="autoZero"/>
        <c:auto val="1"/>
        <c:lblAlgn val="ctr"/>
        <c:lblOffset val="100"/>
      </c:catAx>
      <c:valAx>
        <c:axId val="127801216"/>
        <c:scaling>
          <c:orientation val="minMax"/>
        </c:scaling>
        <c:axPos val="l"/>
        <c:numFmt formatCode="_ * #,##0.00_ ;_ * \-#,##0.00_ ;_ * &quot;-&quot;??_ ;_ @_ " sourceLinked="1"/>
        <c:tickLblPos val="nextTo"/>
        <c:crossAx val="127799680"/>
        <c:crosses val="autoZero"/>
        <c:crossBetween val="between"/>
        <c:majorUnit val="1"/>
      </c:valAx>
    </c:plotArea>
    <c:plotVisOnly val="1"/>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col"/>
        <c:grouping val="stacked"/>
        <c:ser>
          <c:idx val="0"/>
          <c:order val="0"/>
          <c:tx>
            <c:strRef>
              <c:f>'Long term projections'!$A$38</c:f>
              <c:strCache>
                <c:ptCount val="1"/>
                <c:pt idx="0">
                  <c:v>Balance at the beginning of the year</c:v>
                </c:pt>
              </c:strCache>
            </c:strRef>
          </c:tx>
          <c:cat>
            <c:strRef>
              <c:f>'Long term projections'!$C$1:$G$1</c:f>
              <c:strCache>
                <c:ptCount val="5"/>
                <c:pt idx="0">
                  <c:v>FY17</c:v>
                </c:pt>
                <c:pt idx="1">
                  <c:v>FY18</c:v>
                </c:pt>
                <c:pt idx="2">
                  <c:v>FY19</c:v>
                </c:pt>
                <c:pt idx="3">
                  <c:v>FY20</c:v>
                </c:pt>
                <c:pt idx="4">
                  <c:v>FY21</c:v>
                </c:pt>
              </c:strCache>
            </c:strRef>
          </c:cat>
          <c:val>
            <c:numRef>
              <c:f>'Long term projections'!$C$38:$G$38</c:f>
              <c:numCache>
                <c:formatCode>_ * #,##0_ ;_ * \-#,##0_ ;_ * "-"??_ ;_ @_ </c:formatCode>
                <c:ptCount val="5"/>
                <c:pt idx="0">
                  <c:v>3.05</c:v>
                </c:pt>
                <c:pt idx="1">
                  <c:v>3.2755000000000001</c:v>
                </c:pt>
                <c:pt idx="2">
                  <c:v>7.8290445032667311</c:v>
                </c:pt>
                <c:pt idx="3">
                  <c:v>12.736432611168874</c:v>
                </c:pt>
                <c:pt idx="4">
                  <c:v>18.028576087693125</c:v>
                </c:pt>
              </c:numCache>
            </c:numRef>
          </c:val>
        </c:ser>
        <c:ser>
          <c:idx val="1"/>
          <c:order val="1"/>
          <c:tx>
            <c:strRef>
              <c:f>'Long term projections'!$A$39</c:f>
              <c:strCache>
                <c:ptCount val="1"/>
                <c:pt idx="0">
                  <c:v>Additions</c:v>
                </c:pt>
              </c:strCache>
            </c:strRef>
          </c:tx>
          <c:cat>
            <c:strRef>
              <c:f>'Long term projections'!$C$1:$G$1</c:f>
              <c:strCache>
                <c:ptCount val="5"/>
                <c:pt idx="0">
                  <c:v>FY17</c:v>
                </c:pt>
                <c:pt idx="1">
                  <c:v>FY18</c:v>
                </c:pt>
                <c:pt idx="2">
                  <c:v>FY19</c:v>
                </c:pt>
                <c:pt idx="3">
                  <c:v>FY20</c:v>
                </c:pt>
                <c:pt idx="4">
                  <c:v>FY21</c:v>
                </c:pt>
              </c:strCache>
            </c:strRef>
          </c:cat>
          <c:val>
            <c:numRef>
              <c:f>'Long term projections'!$C$39:$G$39</c:f>
              <c:numCache>
                <c:formatCode>_ * #,##0_ ;_ * \-#,##0_ ;_ * "-"??_ ;_ @_ </c:formatCode>
                <c:ptCount val="5"/>
                <c:pt idx="0">
                  <c:v>0</c:v>
                </c:pt>
                <c:pt idx="1">
                  <c:v>4.2</c:v>
                </c:pt>
                <c:pt idx="2">
                  <c:v>4.4924999999999988</c:v>
                </c:pt>
                <c:pt idx="3">
                  <c:v>4.8052837499999974</c:v>
                </c:pt>
                <c:pt idx="4">
                  <c:v>5.1397528031249964</c:v>
                </c:pt>
              </c:numCache>
            </c:numRef>
          </c:val>
        </c:ser>
        <c:ser>
          <c:idx val="2"/>
          <c:order val="2"/>
          <c:tx>
            <c:strRef>
              <c:f>'Long term projections'!$A$40</c:f>
              <c:strCache>
                <c:ptCount val="1"/>
                <c:pt idx="0">
                  <c:v>Returns </c:v>
                </c:pt>
              </c:strCache>
            </c:strRef>
          </c:tx>
          <c:cat>
            <c:strRef>
              <c:f>'Long term projections'!$C$1:$G$1</c:f>
              <c:strCache>
                <c:ptCount val="5"/>
                <c:pt idx="0">
                  <c:v>FY17</c:v>
                </c:pt>
                <c:pt idx="1">
                  <c:v>FY18</c:v>
                </c:pt>
                <c:pt idx="2">
                  <c:v>FY19</c:v>
                </c:pt>
                <c:pt idx="3">
                  <c:v>FY20</c:v>
                </c:pt>
                <c:pt idx="4">
                  <c:v>FY21</c:v>
                </c:pt>
              </c:strCache>
            </c:strRef>
          </c:cat>
          <c:val>
            <c:numRef>
              <c:f>'Long term projections'!$C$40:$G$40</c:f>
              <c:numCache>
                <c:formatCode>_ * #,##0_ ;_ * \-#,##0_ ;_ * "-"??_ ;_ @_ </c:formatCode>
                <c:ptCount val="5"/>
                <c:pt idx="0">
                  <c:v>0.22550000000000001</c:v>
                </c:pt>
                <c:pt idx="1">
                  <c:v>0.35354450326673226</c:v>
                </c:pt>
                <c:pt idx="2">
                  <c:v>0.41488810790214348</c:v>
                </c:pt>
                <c:pt idx="3">
                  <c:v>0.48685972652425763</c:v>
                </c:pt>
                <c:pt idx="4">
                  <c:v>0.57097550343593362</c:v>
                </c:pt>
              </c:numCache>
            </c:numRef>
          </c:val>
        </c:ser>
        <c:overlap val="100"/>
        <c:axId val="132508288"/>
        <c:axId val="132925696"/>
      </c:barChart>
      <c:lineChart>
        <c:grouping val="standard"/>
        <c:ser>
          <c:idx val="3"/>
          <c:order val="3"/>
          <c:tx>
            <c:strRef>
              <c:f>'Long term projections'!$A$41</c:f>
              <c:strCache>
                <c:ptCount val="1"/>
              </c:strCache>
            </c:strRef>
          </c:tx>
          <c:spPr>
            <a:ln>
              <a:noFill/>
            </a:ln>
          </c:spPr>
          <c:marker>
            <c:symbol val="none"/>
          </c:marker>
          <c:dLbls>
            <c:spPr>
              <a:ln>
                <a:noFill/>
              </a:ln>
            </c:spPr>
            <c:dLblPos val="t"/>
            <c:showVal val="1"/>
          </c:dLbls>
          <c:val>
            <c:numRef>
              <c:f>'Long term projections'!$C$41:$G$41</c:f>
              <c:numCache>
                <c:formatCode>_ * #,##0_ ;_ * \-#,##0_ ;_ * "-"??_ ;_ @_ </c:formatCode>
                <c:ptCount val="5"/>
                <c:pt idx="0">
                  <c:v>3.2754999999999992</c:v>
                </c:pt>
                <c:pt idx="1">
                  <c:v>7.829044503266732</c:v>
                </c:pt>
                <c:pt idx="2">
                  <c:v>12.736432611168874</c:v>
                </c:pt>
                <c:pt idx="3">
                  <c:v>18.028576087693128</c:v>
                </c:pt>
                <c:pt idx="4">
                  <c:v>23.739304394254059</c:v>
                </c:pt>
              </c:numCache>
            </c:numRef>
          </c:val>
        </c:ser>
        <c:marker val="1"/>
        <c:axId val="132508288"/>
        <c:axId val="132925696"/>
      </c:lineChart>
      <c:catAx>
        <c:axId val="132508288"/>
        <c:scaling>
          <c:orientation val="minMax"/>
        </c:scaling>
        <c:axPos val="b"/>
        <c:tickLblPos val="nextTo"/>
        <c:crossAx val="132925696"/>
        <c:crosses val="autoZero"/>
        <c:auto val="1"/>
        <c:lblAlgn val="ctr"/>
        <c:lblOffset val="100"/>
      </c:catAx>
      <c:valAx>
        <c:axId val="132925696"/>
        <c:scaling>
          <c:orientation val="minMax"/>
        </c:scaling>
        <c:axPos val="l"/>
        <c:numFmt formatCode="_ * #,##0_ ;_ * \-#,##0_ ;_ * &quot;-&quot;??_ ;_ @_ " sourceLinked="1"/>
        <c:tickLblPos val="nextTo"/>
        <c:crossAx val="132508288"/>
        <c:crosses val="autoZero"/>
        <c:crossBetween val="between"/>
      </c:valAx>
    </c:plotArea>
    <c:legend>
      <c:legendPos val="t"/>
    </c:legend>
    <c:plotVisOnly val="1"/>
    <c:dispBlanksAs val="gap"/>
  </c:chart>
  <c:externalData r:id="rId1"/>
  <c:userShapes r:id="rId2"/>
</c:chartSpac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drawing1.xml><?xml version="1.0" encoding="utf-8"?>
<c:userShapes xmlns:c="http://schemas.openxmlformats.org/drawingml/2006/chart">
  <cdr:relSizeAnchor xmlns:cdr="http://schemas.openxmlformats.org/drawingml/2006/chartDrawing">
    <cdr:from>
      <cdr:x>0.24423</cdr:x>
      <cdr:y>0.35878</cdr:y>
    </cdr:from>
    <cdr:to>
      <cdr:x>0.58679</cdr:x>
      <cdr:y>0.48923</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685800" y="942975"/>
          <a:ext cx="961905" cy="342857"/>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0.15625</cdr:x>
      <cdr:y>0.1875</cdr:y>
    </cdr:from>
    <cdr:to>
      <cdr:x>0.4125</cdr:x>
      <cdr:y>0.26042</cdr:y>
    </cdr:to>
    <cdr:sp macro="" textlink="">
      <cdr:nvSpPr>
        <cdr:cNvPr id="3" name="TextBox 2"/>
        <cdr:cNvSpPr txBox="1"/>
      </cdr:nvSpPr>
      <cdr:spPr>
        <a:xfrm xmlns:a="http://schemas.openxmlformats.org/drawingml/2006/main">
          <a:off x="714375" y="514350"/>
          <a:ext cx="1171575" cy="2000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Rs.</a:t>
          </a:r>
          <a:r>
            <a:rPr lang="en-IN" sz="1100" baseline="0"/>
            <a:t> in lakhs</a:t>
          </a:r>
          <a:r>
            <a:rPr lang="en-IN" sz="1100"/>
            <a:t>	</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312F5"/>
    <w:rsid w:val="000312F5"/>
    <w:rsid w:val="005337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D4B6044CEB41089C9CFF41D39F000E">
    <w:name w:val="C3D4B6044CEB41089C9CFF41D39F000E"/>
    <w:rsid w:val="000312F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BA51C2-0005-4E39-B24A-FB33EFC8D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7</Pages>
  <Words>2252</Words>
  <Characters>12839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Asset Allocation Report</vt:lpstr>
    </vt:vector>
  </TitlesOfParts>
  <Company>YFin Advisors</Company>
  <LinksUpToDate>false</LinksUpToDate>
  <CharactersWithSpaces>15061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 Report</dc:title>
  <dc:creator>Hp</dc:creator>
  <cp:lastModifiedBy>Hp</cp:lastModifiedBy>
  <cp:revision>10</cp:revision>
  <cp:lastPrinted>2016-09-19T07:25:00Z</cp:lastPrinted>
  <dcterms:created xsi:type="dcterms:W3CDTF">2016-09-19T06:57:00Z</dcterms:created>
  <dcterms:modified xsi:type="dcterms:W3CDTF">2016-09-21T09:03:00Z</dcterms:modified>
</cp:coreProperties>
</file>