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BUS12: Business Studies Grade 12</w:t>
      </w:r>
    </w:p>
    <w:p>
      <w:pPr>
        <w:jc w:val="center"/>
      </w:pPr>
      <w:r>
        <w:rPr>
          <w:b/>
          <w:sz w:val="24"/>
        </w:rPr>
        <w:t>(2nd Opportunity)</w:t>
      </w:r>
    </w:p>
    <w:p>
      <w:pPr>
        <w:jc w:val="center"/>
      </w:pPr>
      <w:r>
        <w:rPr>
          <w:b/>
          <w:color w:val="C00000"/>
          <w:sz w:val="28"/>
        </w:rPr>
        <w:t>MEMORANDUM / MARKING GUIDE</w:t>
      </w:r>
    </w:p>
    <w:p/>
    <w:p>
      <w:r>
        <w:rPr>
          <w:b/>
          <w:sz w:val="28"/>
        </w:rPr>
        <w:t>QUESTION 1: Business environments and strategies: responding to challenges in the macro environment - ANSWERS</w:t>
      </w:r>
    </w:p>
    <w:p>
      <w:r>
        <w:rPr>
          <w:i/>
        </w:rPr>
        <w:t>[25 marks]</w:t>
      </w:r>
    </w:p>
    <w:p>
      <w:r>
        <w:rPr>
          <w:b/>
        </w:rPr>
        <w:t xml:space="preserve">1.1 </w:t>
      </w:r>
      <w:r>
        <w:t>(2 marks)</w:t>
      </w:r>
    </w:p>
    <w:p>
      <w:r>
        <w:rPr>
          <w:i/>
        </w:rPr>
        <w:t>Question: Identify TWO macro-environmental challenges faced by GreenPower Solutions as described in Source A.</w:t>
      </w:r>
    </w:p>
    <w:p>
      <w:r>
        <w:rPr>
          <w:b/>
        </w:rPr>
        <w:t>Expected Answer Points:</w:t>
      </w:r>
    </w:p>
    <w:p>
      <w:pPr>
        <w:pStyle w:val="ListBullet"/>
      </w:pPr>
      <w:r>
        <w:rPr>
          <w:color w:val="008000"/>
        </w:rPr>
        <w:t>• Increase in electricity tariffs by NERSA (15%)</w:t>
      </w:r>
    </w:p>
    <w:p>
      <w:pPr>
        <w:pStyle w:val="ListBullet"/>
      </w:pPr>
      <w:r>
        <w:rPr>
          <w:color w:val="008000"/>
        </w:rPr>
        <w:t>• Draft policy proposing stricter local content requirements (60% local sourcing by 2025)</w:t>
      </w:r>
    </w:p>
    <w:p>
      <w:pPr>
        <w:pStyle w:val="ListBullet"/>
      </w:pPr>
      <w:r>
        <w:rPr>
          <w:color w:val="008000"/>
        </w:rPr>
        <w:t>• Rising input costs due to global supply chain disruptions</w:t>
      </w:r>
    </w:p>
    <w:p>
      <w:pPr>
        <w:pStyle w:val="ListBullet"/>
      </w:pPr>
      <w:r>
        <w:rPr>
          <w:color w:val="008000"/>
        </w:rPr>
        <w:t>• Weakened rand (exchange rate: R18.50/USD in 2023 vs R15.20/USD in 2021)</w:t>
      </w:r>
    </w:p>
    <w:p>
      <w:pPr>
        <w:pStyle w:val="ListBullet"/>
      </w:pPr>
      <w:r>
        <w:rPr>
          <w:color w:val="008000"/>
        </w:rPr>
        <w:t>• Tightening access to financing due to SARB repo rate hikes (from 3.5% to 7.25%)</w:t>
      </w:r>
    </w:p>
    <w:p>
      <w:pPr>
        <w:pStyle w:val="ListBullet"/>
      </w:pPr>
      <w:r>
        <w:rPr>
          <w:color w:val="008000"/>
        </w:rPr>
        <w:t>• Load-shedding (averaging 6 hours/day)</w:t>
      </w:r>
    </w:p>
    <w:p>
      <w:r>
        <w:rPr>
          <w:sz w:val="20"/>
        </w:rPr>
        <w:t>Cognitive Level: remember</w:t>
      </w:r>
    </w:p>
    <w:p/>
    <w:p>
      <w:r>
        <w:rPr>
          <w:b/>
        </w:rPr>
        <w:t xml:space="preserve">1.2 </w:t>
      </w:r>
      <w:r>
        <w:t>(3 marks)</w:t>
      </w:r>
    </w:p>
    <w:p>
      <w:r>
        <w:rPr>
          <w:i/>
        </w:rPr>
        <w:t>Question: Explain how the weakening of the rand against the US dollar impacts GreenPower Solutions’ input costs.</w:t>
      </w:r>
    </w:p>
    <w:p>
      <w:r>
        <w:rPr>
          <w:b/>
        </w:rPr>
        <w:t>Expected Answer Points:</w:t>
      </w:r>
    </w:p>
    <w:p>
      <w:pPr>
        <w:pStyle w:val="ListBullet"/>
      </w:pPr>
      <w:r>
        <w:rPr>
          <w:color w:val="008000"/>
        </w:rPr>
        <w:t>• GreenPower imports 70% of its silicon wafers from China, which are priced in US dollars.</w:t>
      </w:r>
    </w:p>
    <w:p>
      <w:pPr>
        <w:pStyle w:val="ListBullet"/>
      </w:pPr>
      <w:r>
        <w:rPr>
          <w:color w:val="008000"/>
        </w:rPr>
        <w:t>• A weaker rand means more rands are needed to buy the same amount of US dollars.</w:t>
      </w:r>
    </w:p>
    <w:p>
      <w:pPr>
        <w:pStyle w:val="ListBullet"/>
      </w:pPr>
      <w:r>
        <w:rPr>
          <w:color w:val="008000"/>
        </w:rPr>
        <w:t>• This increases the cost of imported inputs, raising production expenses.</w:t>
      </w:r>
    </w:p>
    <w:p>
      <w:pPr>
        <w:pStyle w:val="ListBullet"/>
      </w:pPr>
      <w:r>
        <w:rPr>
          <w:color w:val="008000"/>
        </w:rPr>
        <w:t>• Example: At R15.20/USD (2021), $1 million cost R15.2 million; at R18.50/USD (2023), same $1 million costs R18.5 million – an increase of R3.3 million.</w:t>
      </w:r>
    </w:p>
    <w:p>
      <w:r>
        <w:rPr>
          <w:sz w:val="20"/>
        </w:rPr>
        <w:t>Cognitive Level: apply</w:t>
      </w:r>
    </w:p>
    <w:p/>
    <w:p>
      <w:r>
        <w:rPr>
          <w:b/>
        </w:rPr>
        <w:t xml:space="preserve">1.3 </w:t>
      </w:r>
      <w:r>
        <w:t>(4 marks)</w:t>
      </w:r>
    </w:p>
    <w:p>
      <w:r>
        <w:rPr>
          <w:i/>
        </w:rPr>
        <w:t>Question: Analyse why load-shedding presents both a challenge and an opportunity for GreenPower Solutions.</w:t>
      </w:r>
    </w:p>
    <w:p>
      <w:r>
        <w:rPr>
          <w:b/>
        </w:rPr>
        <w:t>Expected Answer Points:</w:t>
      </w:r>
    </w:p>
    <w:p>
      <w:pPr>
        <w:pStyle w:val="ListBullet"/>
      </w:pPr>
      <w:r>
        <w:rPr>
          <w:color w:val="008000"/>
        </w:rPr>
        <w:t>• Challenge: Load-shedding disrupts manufacturing operations, reducing output and increasing operational costs (e.g., need for backup generators).</w:t>
      </w:r>
    </w:p>
    <w:p>
      <w:pPr>
        <w:pStyle w:val="ListBullet"/>
      </w:pPr>
      <w:r>
        <w:rPr>
          <w:color w:val="008000"/>
        </w:rPr>
        <w:t>• Opportunity: High demand for solar panels due to load-shedding creates a growing market for renewable energy solutions.</w:t>
      </w:r>
    </w:p>
    <w:p>
      <w:pPr>
        <w:pStyle w:val="ListBullet"/>
      </w:pPr>
      <w:r>
        <w:rPr>
          <w:color w:val="008000"/>
        </w:rPr>
        <w:t>• Consumers and businesses seek alternative power sources, increasing demand for GreenPower’s products.</w:t>
      </w:r>
    </w:p>
    <w:p>
      <w:pPr>
        <w:pStyle w:val="ListBullet"/>
      </w:pPr>
      <w:r>
        <w:rPr>
          <w:color w:val="008000"/>
        </w:rPr>
        <w:t>• This allows the company to potentially increase sales and market share despite operational disruptions.</w:t>
      </w:r>
    </w:p>
    <w:p>
      <w:r>
        <w:rPr>
          <w:sz w:val="20"/>
        </w:rPr>
        <w:t>Cognitive Level: analyze</w:t>
      </w:r>
    </w:p>
    <w:p/>
    <w:p>
      <w:r>
        <w:rPr>
          <w:b/>
        </w:rPr>
        <w:t xml:space="preserve">2.1 </w:t>
      </w:r>
      <w:r>
        <w:t>(2 marks)</w:t>
      </w:r>
    </w:p>
    <w:p>
      <w:r>
        <w:rPr>
          <w:i/>
        </w:rPr>
        <w:t>Question: State the penalty for exceeding the allocated carbon budget under the Draft Climate Change Bill, 2022.</w:t>
      </w:r>
    </w:p>
    <w:p>
      <w:r>
        <w:rPr>
          <w:b/>
        </w:rPr>
        <w:t>Expected Answer Points:</w:t>
      </w:r>
    </w:p>
    <w:p>
      <w:pPr>
        <w:pStyle w:val="ListBullet"/>
      </w:pPr>
      <w:r>
        <w:rPr>
          <w:color w:val="008000"/>
        </w:rPr>
        <w:t>• R120 per tonne of CO₂ equivalent exceeded</w:t>
      </w:r>
    </w:p>
    <w:p>
      <w:pPr>
        <w:pStyle w:val="ListBullet"/>
      </w:pPr>
      <w:r>
        <w:rPr>
          <w:color w:val="008000"/>
        </w:rPr>
        <w:t>• Payable to the National Treasury within 30 days of assessment</w:t>
      </w:r>
    </w:p>
    <w:p>
      <w:r>
        <w:rPr>
          <w:sz w:val="20"/>
        </w:rPr>
        <w:t>Cognitive Level: remember</w:t>
      </w:r>
    </w:p>
    <w:p/>
    <w:p>
      <w:r>
        <w:rPr>
          <w:b/>
        </w:rPr>
        <w:t xml:space="preserve">2.2 </w:t>
      </w:r>
      <w:r>
        <w:t>(2 marks)</w:t>
      </w:r>
    </w:p>
    <w:p>
      <w:r>
        <w:rPr>
          <w:i/>
        </w:rPr>
        <w:t>Question: Explain how the revenue from carbon budget penalties is intended to be used, according to Source B.</w:t>
      </w:r>
    </w:p>
    <w:p>
      <w:r>
        <w:rPr>
          <w:b/>
        </w:rPr>
        <w:t>Expected Answer Points:</w:t>
      </w:r>
    </w:p>
    <w:p>
      <w:pPr>
        <w:pStyle w:val="ListBullet"/>
      </w:pPr>
      <w:r>
        <w:rPr>
          <w:color w:val="008000"/>
        </w:rPr>
        <w:t>• Revenue generated from penalties shall be ring-fenced for the Just Energy Transition Fund.</w:t>
      </w:r>
    </w:p>
    <w:p>
      <w:pPr>
        <w:pStyle w:val="ListBullet"/>
      </w:pPr>
      <w:r>
        <w:rPr>
          <w:color w:val="008000"/>
        </w:rPr>
        <w:t>• The fund is intended to support affected workers and communities impacted by the transition to a low-carbon economy.</w:t>
      </w:r>
    </w:p>
    <w:p>
      <w:r>
        <w:rPr>
          <w:sz w:val="20"/>
        </w:rPr>
        <w:t>Cognitive Level: apply</w:t>
      </w:r>
    </w:p>
    <w:p/>
    <w:p>
      <w:r>
        <w:rPr>
          <w:b/>
        </w:rPr>
        <w:t xml:space="preserve">3.1 </w:t>
      </w:r>
      <w:r>
        <w:t>(6 marks)</w:t>
      </w:r>
    </w:p>
    <w:p>
      <w:r>
        <w:rPr>
          <w:i/>
        </w:rPr>
        <w:t>Question: Evaluate the feasibility of GreenPower Solutions investing R50 million in a local wafer production line to comply with local content requirements. Consider financial, operational, and strategic factors.</w:t>
      </w:r>
    </w:p>
    <w:p>
      <w:r>
        <w:rPr>
          <w:b/>
        </w:rPr>
        <w:t>Expected Answer Points:</w:t>
      </w:r>
    </w:p>
    <w:p>
      <w:pPr>
        <w:pStyle w:val="ListBullet"/>
      </w:pPr>
      <w:r>
        <w:rPr>
          <w:color w:val="008000"/>
        </w:rPr>
        <w:t>• Financial: High upfront cost (R50 million) may strain finances, especially with tightening credit and high interest rates (SARB repo rate at 7.25%). Payback period uncertain.</w:t>
      </w:r>
    </w:p>
    <w:p>
      <w:pPr>
        <w:pStyle w:val="ListBullet"/>
      </w:pPr>
      <w:r>
        <w:rPr>
          <w:color w:val="008000"/>
        </w:rPr>
        <w:t>• Operational: Requires technical expertise, skilled labour, and time to set up; may disrupt current operations during transition.</w:t>
      </w:r>
    </w:p>
    <w:p>
      <w:pPr>
        <w:pStyle w:val="ListBullet"/>
      </w:pPr>
      <w:r>
        <w:rPr>
          <w:color w:val="008000"/>
        </w:rPr>
        <w:t>• Strategic: Reduces reliance on imports, mitigates exchange rate risk, ensures compliance with 60% local content rule by 2025, and enhances long-term competitiveness.</w:t>
      </w:r>
    </w:p>
    <w:p>
      <w:pPr>
        <w:pStyle w:val="ListBullet"/>
      </w:pPr>
      <w:r>
        <w:rPr>
          <w:color w:val="008000"/>
        </w:rPr>
        <w:t>• Alternative: Import costs may continue to rise due to rand volatility; local production could stabilize input costs over time.</w:t>
      </w:r>
    </w:p>
    <w:p>
      <w:pPr>
        <w:pStyle w:val="ListBullet"/>
      </w:pPr>
      <w:r>
        <w:rPr>
          <w:color w:val="008000"/>
        </w:rPr>
        <w:t>• Risk: Technology may become obsolete; demand for wafers could fluctuate; risk of over-investment if policy changes or demand slows.</w:t>
      </w:r>
    </w:p>
    <w:p>
      <w:pPr>
        <w:pStyle w:val="ListBullet"/>
      </w:pPr>
      <w:r>
        <w:rPr>
          <w:color w:val="008000"/>
        </w:rPr>
        <w:t>• Conclusion: Feasible only if supported by government incentives, phased implementation, or partnerships; otherwise, high risk given current macroeconomic pressures.</w:t>
      </w:r>
    </w:p>
    <w:p>
      <w:r>
        <w:rPr>
          <w:sz w:val="20"/>
        </w:rPr>
        <w:t>Cognitive Level: evaluate</w:t>
      </w:r>
    </w:p>
    <w:p/>
    <w:p>
      <w:r>
        <w:rPr>
          <w:b/>
        </w:rPr>
        <w:t xml:space="preserve">3.2 </w:t>
      </w:r>
      <w:r>
        <w:t>(6 marks)</w:t>
      </w:r>
    </w:p>
    <w:p>
      <w:r>
        <w:rPr>
          <w:i/>
        </w:rPr>
        <w:t>Question: Recommend and justify ONE strategy GreenPower Solutions should pursue to respond to the macro-environmental challenges. Support your recommendation with evidence from Source A and Business Studies concepts.</w:t>
      </w:r>
    </w:p>
    <w:p>
      <w:r>
        <w:rPr>
          <w:b/>
        </w:rPr>
        <w:t>Expected Answer Points:</w:t>
      </w:r>
    </w:p>
    <w:p>
      <w:pPr>
        <w:pStyle w:val="ListBullet"/>
      </w:pPr>
      <w:r>
        <w:rPr>
          <w:color w:val="008000"/>
        </w:rPr>
        <w:t>• Recommendation: Diversify into solar installation services.</w:t>
      </w:r>
    </w:p>
    <w:p>
      <w:pPr>
        <w:pStyle w:val="ListBullet"/>
      </w:pPr>
      <w:r>
        <w:rPr>
          <w:color w:val="008000"/>
        </w:rPr>
        <w:t>• Justification: Reduces reliance on manufacturing margins, which are under pressure from rising input costs and exchange rate volatility.</w:t>
      </w:r>
    </w:p>
    <w:p>
      <w:pPr>
        <w:pStyle w:val="ListBullet"/>
      </w:pPr>
      <w:r>
        <w:rPr>
          <w:color w:val="008000"/>
        </w:rPr>
        <w:t>• Leverages strong consumer demand driven by load-shedding (6 hrs/day) and environmental awareness.</w:t>
      </w:r>
    </w:p>
    <w:p>
      <w:pPr>
        <w:pStyle w:val="ListBullet"/>
      </w:pPr>
      <w:r>
        <w:rPr>
          <w:color w:val="008000"/>
        </w:rPr>
        <w:t>• Creates a recurring revenue stream and strengthens customer relationships through after-sales service.</w:t>
      </w:r>
    </w:p>
    <w:p>
      <w:pPr>
        <w:pStyle w:val="ListBullet"/>
      </w:pPr>
      <w:r>
        <w:rPr>
          <w:color w:val="008000"/>
        </w:rPr>
        <w:t>• Aligns with business strategy of diversification to reduce risk (Ansoff Matrix – product development or diversification).</w:t>
      </w:r>
    </w:p>
    <w:p>
      <w:pPr>
        <w:pStyle w:val="ListBullet"/>
      </w:pPr>
      <w:r>
        <w:rPr>
          <w:color w:val="008000"/>
        </w:rPr>
        <w:t>• Less capital-intensive than building a wafer plant (avoids R50m investment), faster to implement, and uses existing technical knowledge.</w:t>
      </w:r>
    </w:p>
    <w:p>
      <w:pPr>
        <w:pStyle w:val="ListBullet"/>
      </w:pPr>
      <w:r>
        <w:rPr>
          <w:color w:val="008000"/>
        </w:rPr>
        <w:t>• Alternative strategies (local production or lobbying) are either too costly, slow, or uncertain; installation services offer immediate market response.</w:t>
      </w:r>
    </w:p>
    <w:p>
      <w:pPr>
        <w:pStyle w:val="ListBullet"/>
      </w:pPr>
      <w:r>
        <w:rPr>
          <w:color w:val="008000"/>
        </w:rPr>
        <w:t>• Conclusion: Diversification into installation services is the most viable, sustainable, and strategically sound option given current macro-environmental pressures.</w:t>
      </w:r>
    </w:p>
    <w:p>
      <w:r>
        <w:rPr>
          <w:sz w:val="20"/>
        </w:rPr>
        <w:t>Cognitive Level: create</w:t>
      </w:r>
    </w:p>
    <w:p/>
    <w:p>
      <w:r>
        <w:t>____________________________________________________________</w:t>
      </w:r>
    </w:p>
    <w:p>
      <w:r>
        <w:rPr>
          <w:b/>
          <w:sz w:val="28"/>
        </w:rPr>
        <w:t>QUESTION 2: Entrepreneurship and forms of ownership: choosing an appropriate form of ownership for a small business - ANSWERS</w:t>
      </w:r>
    </w:p>
    <w:p>
      <w:r>
        <w:rPr>
          <w:i/>
        </w:rPr>
        <w:t>[25 marks]</w:t>
      </w:r>
    </w:p>
    <w:p>
      <w:r>
        <w:rPr>
          <w:b/>
        </w:rPr>
        <w:t xml:space="preserve">1.1 </w:t>
      </w:r>
      <w:r>
        <w:t>(2 marks)</w:t>
      </w:r>
    </w:p>
    <w:p>
      <w:r>
        <w:rPr>
          <w:i/>
        </w:rPr>
        <w:t>Question: Define the term 'sole proprietorship' as it applies to Sipho’s current business structure.</w:t>
      </w:r>
    </w:p>
    <w:p>
      <w:r>
        <w:rPr>
          <w:b/>
        </w:rPr>
        <w:t>Expected Answer Points:</w:t>
      </w:r>
    </w:p>
    <w:p>
      <w:pPr>
        <w:pStyle w:val="ListBullet"/>
      </w:pPr>
      <w:r>
        <w:rPr>
          <w:color w:val="008000"/>
        </w:rPr>
        <w:t>• A business owned and controlled by one person.</w:t>
      </w:r>
    </w:p>
    <w:p>
      <w:pPr>
        <w:pStyle w:val="ListBullet"/>
      </w:pPr>
      <w:r>
        <w:rPr>
          <w:color w:val="008000"/>
        </w:rPr>
        <w:t>• The owner has unlimited liability and full decision-making authority.</w:t>
      </w:r>
    </w:p>
    <w:p>
      <w:r>
        <w:rPr>
          <w:sz w:val="20"/>
        </w:rPr>
        <w:t>Cognitive Level: remember</w:t>
      </w:r>
    </w:p>
    <w:p/>
    <w:p>
      <w:r>
        <w:rPr>
          <w:b/>
        </w:rPr>
        <w:t xml:space="preserve">1.2 </w:t>
      </w:r>
      <w:r>
        <w:t>(2 marks)</w:t>
      </w:r>
    </w:p>
    <w:p>
      <w:r>
        <w:rPr>
          <w:i/>
        </w:rPr>
        <w:t>Question: Identify TWO reasons why Sipho started his urban garden as a hobby in 2020.</w:t>
      </w:r>
    </w:p>
    <w:p>
      <w:r>
        <w:rPr>
          <w:b/>
        </w:rPr>
        <w:t>Expected Answer Points:</w:t>
      </w:r>
    </w:p>
    <w:p>
      <w:pPr>
        <w:pStyle w:val="ListBullet"/>
      </w:pPr>
      <w:r>
        <w:rPr>
          <w:color w:val="008000"/>
        </w:rPr>
        <w:t>• To feed his family.</w:t>
      </w:r>
    </w:p>
    <w:p>
      <w:pPr>
        <w:pStyle w:val="ListBullet"/>
      </w:pPr>
      <w:r>
        <w:rPr>
          <w:color w:val="008000"/>
        </w:rPr>
        <w:t>• As a personal hobby or leisure activity.</w:t>
      </w:r>
    </w:p>
    <w:p>
      <w:r>
        <w:rPr>
          <w:sz w:val="20"/>
        </w:rPr>
        <w:t>Cognitive Level: understand</w:t>
      </w:r>
    </w:p>
    <w:p/>
    <w:p>
      <w:r>
        <w:rPr>
          <w:b/>
        </w:rPr>
        <w:t xml:space="preserve">2.1 </w:t>
      </w:r>
      <w:r>
        <w:t>(4 marks)</w:t>
      </w:r>
    </w:p>
    <w:p>
      <w:r>
        <w:rPr>
          <w:i/>
        </w:rPr>
        <w:t>Question: Compare the liability of a sole proprietorship and a private company (Pty) Ltd in the context of Sipho’s business.</w:t>
      </w:r>
    </w:p>
    <w:p>
      <w:r>
        <w:rPr>
          <w:b/>
        </w:rPr>
        <w:t>Expected Answer Points:</w:t>
      </w:r>
    </w:p>
    <w:p>
      <w:pPr>
        <w:pStyle w:val="ListBullet"/>
      </w:pPr>
      <w:r>
        <w:rPr>
          <w:color w:val="008000"/>
        </w:rPr>
        <w:t>• In a sole proprietorship, Sipho has unlimited liability, meaning his personal assets (like his home) can be used to settle business debts.</w:t>
      </w:r>
    </w:p>
    <w:p>
      <w:pPr>
        <w:pStyle w:val="ListBullet"/>
      </w:pPr>
      <w:r>
        <w:rPr>
          <w:color w:val="008000"/>
        </w:rPr>
        <w:t>• In a private company (Pty) Ltd, liability is limited to the share capital invested, protecting his personal assets from business risks.</w:t>
      </w:r>
    </w:p>
    <w:p>
      <w:pPr>
        <w:pStyle w:val="ListBullet"/>
      </w:pPr>
      <w:r>
        <w:rPr>
          <w:color w:val="008000"/>
        </w:rPr>
        <w:t>• This distinction is important as Sipho wants to protect his family home from business risks.</w:t>
      </w:r>
    </w:p>
    <w:p>
      <w:r>
        <w:rPr>
          <w:sz w:val="20"/>
        </w:rPr>
        <w:t>Cognitive Level: analyze</w:t>
      </w:r>
    </w:p>
    <w:p/>
    <w:p>
      <w:r>
        <w:rPr>
          <w:b/>
        </w:rPr>
        <w:t xml:space="preserve">2.2 </w:t>
      </w:r>
      <w:r>
        <w:t>(3 marks)</w:t>
      </w:r>
    </w:p>
    <w:p>
      <w:r>
        <w:rPr>
          <w:i/>
        </w:rPr>
        <w:t>Question: Explain why forming a partnership with his cousin might improve Sipho’s access to capital compared to operating as a sole proprietor.</w:t>
      </w:r>
    </w:p>
    <w:p>
      <w:r>
        <w:rPr>
          <w:b/>
        </w:rPr>
        <w:t>Expected Answer Points:</w:t>
      </w:r>
    </w:p>
    <w:p>
      <w:pPr>
        <w:pStyle w:val="ListBullet"/>
      </w:pPr>
      <w:r>
        <w:rPr>
          <w:color w:val="008000"/>
        </w:rPr>
        <w:t>• A partnership allows pooling of financial resources from both partners.</w:t>
      </w:r>
    </w:p>
    <w:p>
      <w:pPr>
        <w:pStyle w:val="ListBullet"/>
      </w:pPr>
      <w:r>
        <w:rPr>
          <w:color w:val="008000"/>
        </w:rPr>
        <w:t>• His cousin’s marketing skills could attract more customers and increase revenue, improving creditworthiness.</w:t>
      </w:r>
    </w:p>
    <w:p>
      <w:pPr>
        <w:pStyle w:val="ListBullet"/>
      </w:pPr>
      <w:r>
        <w:rPr>
          <w:color w:val="008000"/>
        </w:rPr>
        <w:t>• Combined savings and borrowing capacity are greater than what Sipho could access alone.</w:t>
      </w:r>
    </w:p>
    <w:p>
      <w:r>
        <w:rPr>
          <w:sz w:val="20"/>
        </w:rPr>
        <w:t>Cognitive Level: apply</w:t>
      </w:r>
    </w:p>
    <w:p/>
    <w:p>
      <w:r>
        <w:rPr>
          <w:b/>
        </w:rPr>
        <w:t xml:space="preserve">3.1 </w:t>
      </w:r>
      <w:r>
        <w:t>(6 marks)</w:t>
      </w:r>
    </w:p>
    <w:p>
      <w:r>
        <w:rPr>
          <w:i/>
        </w:rPr>
        <w:t>Question: Evaluate whether Sipho should remain a sole proprietor or register a private company (Pty) Ltd if his main priority is protecting his personal assets while maintaining decision-making control.</w:t>
      </w:r>
    </w:p>
    <w:p>
      <w:r>
        <w:rPr>
          <w:b/>
        </w:rPr>
        <w:t>Expected Answer Points:</w:t>
      </w:r>
    </w:p>
    <w:p>
      <w:pPr>
        <w:pStyle w:val="ListBullet"/>
      </w:pPr>
      <w:r>
        <w:rPr>
          <w:color w:val="008000"/>
        </w:rPr>
        <w:t>• Remaining a sole proprietor does NOT protect personal assets due to unlimited liability – his home is at risk.</w:t>
      </w:r>
    </w:p>
    <w:p>
      <w:pPr>
        <w:pStyle w:val="ListBullet"/>
      </w:pPr>
      <w:r>
        <w:rPr>
          <w:color w:val="008000"/>
        </w:rPr>
        <w:t>• Registering a private company (Pty) Ltd offers limited liability, protecting his personal assets from business debts.</w:t>
      </w:r>
    </w:p>
    <w:p>
      <w:pPr>
        <w:pStyle w:val="ListBullet"/>
      </w:pPr>
      <w:r>
        <w:rPr>
          <w:color w:val="008000"/>
        </w:rPr>
        <w:t>• However, decision-making control is shared with directors/shareholders, reducing his full autonomy.</w:t>
      </w:r>
    </w:p>
    <w:p>
      <w:pPr>
        <w:pStyle w:val="ListBullet"/>
      </w:pPr>
      <w:r>
        <w:rPr>
          <w:color w:val="008000"/>
        </w:rPr>
        <w:t>• Given his dislike for complex procedures, the high setup cost and regulatory burden of a Pty Ltd may be a drawback.</w:t>
      </w:r>
    </w:p>
    <w:p>
      <w:pPr>
        <w:pStyle w:val="ListBullet"/>
      </w:pPr>
      <w:r>
        <w:rPr>
          <w:color w:val="008000"/>
        </w:rPr>
        <w:t>• A balanced evaluation: If asset protection is critical, a Pty Ltd is better despite reduced control and complexity; if control and simplicity are paramount, sole proprietorship is risky but preferable.</w:t>
      </w:r>
    </w:p>
    <w:p>
      <w:pPr>
        <w:pStyle w:val="ListBullet"/>
      </w:pPr>
      <w:r>
        <w:rPr>
          <w:color w:val="008000"/>
        </w:rPr>
        <w:t>• Conclusion should justify a defensible choice based on his stated priorities.</w:t>
      </w:r>
    </w:p>
    <w:p>
      <w:r>
        <w:rPr>
          <w:sz w:val="20"/>
        </w:rPr>
        <w:t>Cognitive Level: evaluate</w:t>
      </w:r>
    </w:p>
    <w:p/>
    <w:p>
      <w:r>
        <w:rPr>
          <w:b/>
        </w:rPr>
        <w:t xml:space="preserve">4.1 </w:t>
      </w:r>
      <w:r>
        <w:t>(8 marks)</w:t>
      </w:r>
    </w:p>
    <w:p>
      <w:r>
        <w:rPr>
          <w:i/>
        </w:rPr>
        <w:t>Question: Sipho is considering expanding to supply two township supermarkets, which requires hiring staff and registering for VAT. Recommend the most suitable form of ownership for his expanded business. Justify your recommendation using FOUR criteria from the case and the table.</w:t>
      </w:r>
    </w:p>
    <w:p>
      <w:r>
        <w:rPr>
          <w:b/>
        </w:rPr>
        <w:t>Expected Answer Points:</w:t>
      </w:r>
    </w:p>
    <w:p>
      <w:pPr>
        <w:pStyle w:val="ListBullet"/>
      </w:pPr>
      <w:r>
        <w:rPr>
          <w:color w:val="008000"/>
        </w:rPr>
        <w:t>• Recommendation: Private company (Pty) Ltd is most suitable for the expanded business.</w:t>
      </w:r>
    </w:p>
    <w:p>
      <w:pPr>
        <w:pStyle w:val="ListBullet"/>
      </w:pPr>
      <w:r>
        <w:rPr>
          <w:color w:val="008000"/>
        </w:rPr>
        <w:t>• Justification 1 – Limited liability: Protects his personal assets (home) as business risks increase with expansion and hiring staff.</w:t>
      </w:r>
    </w:p>
    <w:p>
      <w:pPr>
        <w:pStyle w:val="ListBullet"/>
      </w:pPr>
      <w:r>
        <w:rPr>
          <w:color w:val="008000"/>
        </w:rPr>
        <w:t>• Justification 2 – Access to capital: Easier to obtain loans or attract investors for working capital (R45 000 needed) and VAT registration costs, beyond his R20 000 savings.</w:t>
      </w:r>
    </w:p>
    <w:p>
      <w:pPr>
        <w:pStyle w:val="ListBullet"/>
      </w:pPr>
      <w:r>
        <w:rPr>
          <w:color w:val="008000"/>
        </w:rPr>
        <w:t>• Justification 3 – Continuity: Ensures business survives if he dies or retires, important for long-term contracts with supermarkets.</w:t>
      </w:r>
    </w:p>
    <w:p>
      <w:pPr>
        <w:pStyle w:val="ListBullet"/>
      </w:pPr>
      <w:r>
        <w:rPr>
          <w:color w:val="008000"/>
        </w:rPr>
        <w:t>• Justification 4 – VAT compliance: A private company is better equipped to handle high regulatory burden (SARS, CIPC, audits) associated with VAT registration and formal employment.</w:t>
      </w:r>
    </w:p>
    <w:p>
      <w:pPr>
        <w:pStyle w:val="ListBullet"/>
      </w:pPr>
      <w:r>
        <w:rPr>
          <w:color w:val="008000"/>
        </w:rPr>
        <w:t>• Alternative justified: Partnership could be considered if he values shared expertise (cousin’s marketing) and wants lower setup cost, but unlimited liability and lack of continuity make it less ideal for scaling.</w:t>
      </w:r>
    </w:p>
    <w:p>
      <w:pPr>
        <w:pStyle w:val="ListBullet"/>
      </w:pPr>
      <w:r>
        <w:rPr>
          <w:color w:val="008000"/>
        </w:rPr>
        <w:t>• Tie marks to case facts: Expansion to supermarkets, need for working capital, hiring part-time workers, VAT registration, desire to protect home.</w:t>
      </w:r>
    </w:p>
    <w:p>
      <w:r>
        <w:rPr>
          <w:sz w:val="20"/>
        </w:rPr>
        <w:t>Cognitive Level: create</w:t>
      </w:r>
    </w:p>
    <w:p/>
    <w:p>
      <w:r>
        <w:t>____________________________________________________________</w:t>
      </w:r>
    </w:p>
    <w:p>
      <w:r>
        <w:rPr>
          <w:b/>
          <w:sz w:val="28"/>
        </w:rPr>
        <w:t>QUESTION 3: METHODOLOGY - MARKING GUIDE</w:t>
      </w:r>
    </w:p>
    <w:p>
      <w:r>
        <w:rPr>
          <w:i/>
        </w:rPr>
        <w:t>[25 marks]</w:t>
      </w:r>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Application of Business Studies concepts to analyse market pressure</w:t>
            </w:r>
          </w:p>
        </w:tc>
        <w:tc>
          <w:tcPr>
            <w:tcW w:type="dxa" w:w="2160"/>
          </w:tcPr>
          <w:p>
            <w:r>
              <w:t>Insightful and accurate application of 3+ relevant CAPS concepts (e.g., market environment, competitive forces, PESTLE) to clearly identify and explain the nature and source of market pressure.</w:t>
            </w:r>
          </w:p>
        </w:tc>
        <w:tc>
          <w:tcPr>
            <w:tcW w:type="dxa" w:w="2160"/>
          </w:tcPr>
          <w:p>
            <w:r>
              <w:t>Adequate application of 2 relevant concepts with some links to the scenario; analysis is mostly descriptive but shows understanding.</w:t>
            </w:r>
          </w:p>
        </w:tc>
        <w:tc>
          <w:tcPr>
            <w:tcW w:type="dxa" w:w="2160"/>
          </w:tcPr>
          <w:p>
            <w:r>
              <w:t>Limited or superficial application of concepts; analysis is generic or lacks clear connection to the scenario.</w:t>
            </w:r>
          </w:p>
        </w:tc>
      </w:tr>
      <w:tr>
        <w:tc>
          <w:tcPr>
            <w:tcW w:type="dxa" w:w="2160"/>
          </w:tcPr>
          <w:p>
            <w:r>
              <w:t>Evaluation of two strategic responses</w:t>
            </w:r>
          </w:p>
        </w:tc>
        <w:tc>
          <w:tcPr>
            <w:tcW w:type="dxa" w:w="2160"/>
          </w:tcPr>
          <w:p>
            <w:r>
              <w:t>Critical evaluation of two distinct strategies using criteria such as feasibility, risk, alignment with business goals, and CAPS-aligned frameworks (e.g., Porter’s generic strategies, Ansoff Matrix); shows depth of reasoning.</w:t>
            </w:r>
          </w:p>
        </w:tc>
        <w:tc>
          <w:tcPr>
            <w:tcW w:type="dxa" w:w="2160"/>
          </w:tcPr>
          <w:p>
            <w:r>
              <w:t>Evaluation of two strategies with basic pros and cons; some use of criteria but lacks depth or critical insight.</w:t>
            </w:r>
          </w:p>
        </w:tc>
        <w:tc>
          <w:tcPr>
            <w:tcW w:type="dxa" w:w="2160"/>
          </w:tcPr>
          <w:p>
            <w:r>
              <w:t>Minimal evaluation; strategies listed or described without meaningful assessment of suitability.</w:t>
            </w:r>
          </w:p>
        </w:tc>
      </w:tr>
      <w:tr>
        <w:tc>
          <w:tcPr>
            <w:tcW w:type="dxa" w:w="2160"/>
          </w:tcPr>
          <w:p>
            <w:r>
              <w:t>Recommendation and justification with synthesis and defensible argument</w:t>
            </w:r>
          </w:p>
        </w:tc>
        <w:tc>
          <w:tcPr>
            <w:tcW w:type="dxa" w:w="2160"/>
          </w:tcPr>
          <w:p>
            <w:r>
              <w:t>Clear, well-justified recommendation that synthesises analysis and evaluation; argument is logical, evidence-based, and demonstrates mature understanding of business strategy and change management; acknowledges limitations or alternatives.</w:t>
            </w:r>
          </w:p>
        </w:tc>
        <w:tc>
          <w:tcPr>
            <w:tcW w:type="dxa" w:w="2160"/>
          </w:tcPr>
          <w:p>
            <w:r>
              <w:t>Recommendation is clear and supported with some reasoning; synthesis is evident but argument may be one-sided or lacks depth in justification.</w:t>
            </w:r>
          </w:p>
        </w:tc>
        <w:tc>
          <w:tcPr>
            <w:tcW w:type="dxa" w:w="2160"/>
          </w:tcPr>
          <w:p>
            <w:r>
              <w:t>Recommendation is vague, poorly justified, or not clearly linked to prior analysis; lacks synthesis or defensible reasoning.</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 - MARKING MATRIX</w:t>
      </w:r>
    </w:p>
    <w:p>
      <w:r>
        <w:rPr>
          <w:i/>
        </w:rPr>
        <w:t>[50 marks]</w:t>
      </w:r>
    </w:p>
    <w:p>
      <w:r>
        <w:rPr>
          <w:b/>
        </w:rPr>
        <w:t xml:space="preserve">Question: </w:t>
      </w:r>
      <w:r>
        <w:t>Read the case study below and answer the question that follows.</w:t>
        <w:br/>
        <w:br/>
        <w:t>GreenLeaf Organics is a mid-sized South African agribusiness that produces organic fruits and vegetables for local and export markets. Over the past five years, the company has faced increasing pressure from consumers, retailers, and international certification bodies to demonstrate ethical sourcing, fair labour practices, and environmental stewardship. In response, GreenLeaf Organics launched a comprehensive Corporate Social Responsibility (CSR) initiative that includes: paying living wages to farmworkers (exceeding the national minimum wage by 30%), investing in drip irrigation systems to reduce water usage by 40%, establishing a community training centre for youth in sustainable farming, and obtaining Fairtrade and GlobalG.A.P. certifications. While these initiatives increased operational costs by 18% in the short term, the company reports a 25% increase in export sales, a 15% improvement in employee retention, and stronger relationships with major retailers such as Woolworths and Pick n Pay.</w:t>
        <w:br/>
        <w:br/>
        <w:t>Using the case study and your knowledge of Business Studies, evaluate the extent to which GreenLeaf Organics’ CSR and ethical business practices have contributed to its long-term business success. In your answer, you must:</w:t>
        <w:br/>
        <w:t>- Apply relevant Business Studies concepts (e.g., triple bottom line, stakeholder theory, ethical leadership).</w:t>
        <w:br/>
        <w:t>- Analyse the specific CSR initiatives mentioned in the case and link them to measurable business outcomes.</w:t>
        <w:br/>
        <w:t>- Evaluate whether the short-term financial costs are justified by long-term gains, considering risks such as market volatility, certification maintenance, and potential greenwashing accusations.</w:t>
        <w:br/>
        <w:t>- Create a justified recommendation for how GreenLeaf Organics should sustain or enhance its CSR strategy over the next 3–5 years to ensure continued competitiveness and resilience.</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concept_accuracy</w:t>
              <w:br/>
              <w:t>(15 marks)</w:t>
            </w:r>
          </w:p>
        </w:tc>
        <w:tc>
          <w:tcPr>
            <w:tcW w:type="dxa" w:w="1728"/>
          </w:tcPr>
          <w:p>
            <w:r>
              <w:t>Demonstrates precise, integrated understanding of CSR, ethical business practice, triple bottom line, stakeholder theory, and ethical leadership. Concepts are defined accurately and used as analytical tools throughout the response.</w:t>
            </w:r>
          </w:p>
        </w:tc>
        <w:tc>
          <w:tcPr>
            <w:tcW w:type="dxa" w:w="1728"/>
          </w:tcPr>
          <w:p>
            <w:r>
              <w:t>Shows solid understanding of key CSR and ethics concepts with minor inaccuracies or omissions. Most concepts are correctly applied to the case.</w:t>
            </w:r>
          </w:p>
        </w:tc>
        <w:tc>
          <w:tcPr>
            <w:tcW w:type="dxa" w:w="1728"/>
          </w:tcPr>
          <w:p>
            <w:r>
              <w:t>Displays basic understanding of CSR and ethics but conflates terms (e.g., CSR with philanthropy) or applies concepts superficially without clear linkage to theory.</w:t>
            </w:r>
          </w:p>
        </w:tc>
        <w:tc>
          <w:tcPr>
            <w:tcW w:type="dxa" w:w="1728"/>
          </w:tcPr>
          <w:p>
            <w:r>
              <w:t>Demonstrates significant misunderstanding or absence of core CSR and ethics concepts. Concepts are either missing, incorrectly defined, or irrelevant to the case.</w:t>
            </w:r>
          </w:p>
        </w:tc>
      </w:tr>
      <w:tr>
        <w:tc>
          <w:tcPr>
            <w:tcW w:type="dxa" w:w="1728"/>
          </w:tcPr>
          <w:p>
            <w:r>
              <w:t>case_application</w:t>
              <w:br/>
              <w:t>(20 marks)</w:t>
            </w:r>
          </w:p>
        </w:tc>
        <w:tc>
          <w:tcPr>
            <w:tcW w:type="dxa" w:w="1728"/>
          </w:tcPr>
          <w:p>
            <w:r>
              <w:t>Explicitly and consistently ties every major CSR initiative (living wages, water efficiency, community training, certifications) to specific outcomes in the case (sales increase, retention, retailer relationships). Uses case data quantitatively and qualitatively to support all arguments.</w:t>
            </w:r>
          </w:p>
        </w:tc>
        <w:tc>
          <w:tcPr>
            <w:tcW w:type="dxa" w:w="1728"/>
          </w:tcPr>
          <w:p>
            <w:r>
              <w:t>Links most initiatives to outcomes with clear references to the case. May miss one minor link or underutilise one data point.</w:t>
            </w:r>
          </w:p>
        </w:tc>
        <w:tc>
          <w:tcPr>
            <w:tcW w:type="dxa" w:w="1728"/>
          </w:tcPr>
          <w:p>
            <w:r>
              <w:t>Mentions case initiatives but links them loosely or generically to outcomes (e.g., 'CSR helped sales' without specifying how). Relies on description rather than application.</w:t>
            </w:r>
          </w:p>
        </w:tc>
        <w:tc>
          <w:tcPr>
            <w:tcW w:type="dxa" w:w="1728"/>
          </w:tcPr>
          <w:p>
            <w:r>
              <w:t>Fails to connect CSR initiatives to case outcomes. Answers are generic, theoretical, or ignore the case details entirely.</w:t>
            </w:r>
          </w:p>
        </w:tc>
      </w:tr>
      <w:tr>
        <w:tc>
          <w:tcPr>
            <w:tcW w:type="dxa" w:w="1728"/>
          </w:tcPr>
          <w:p>
            <w:r>
              <w:t>justification</w:t>
              <w:br/>
              <w:t>(15 marks)</w:t>
            </w:r>
          </w:p>
        </w:tc>
        <w:tc>
          <w:tcPr>
            <w:tcW w:type="dxa" w:w="1728"/>
          </w:tcPr>
          <w:p>
            <w:r>
              <w:t>Provides a nuanced, balanced evaluation of short-term costs vs. long-term benefits, weighing risks (e.g., certification costs, greenwashing, market shifts) against rewards. Uses logical reasoning and business principles to defend conclusions.</w:t>
            </w:r>
          </w:p>
        </w:tc>
        <w:tc>
          <w:tcPr>
            <w:tcW w:type="dxa" w:w="1728"/>
          </w:tcPr>
          <w:p>
            <w:r>
              <w:t>Offers a reasoned evaluation with clear pros and cons. May overemphasise benefits or understate risks, but justification is coherent and grounded.</w:t>
            </w:r>
          </w:p>
        </w:tc>
        <w:tc>
          <w:tcPr>
            <w:tcW w:type="dxa" w:w="1728"/>
          </w:tcPr>
          <w:p>
            <w:r>
              <w:t>Presents a one-sided view (e.g., only benefits or only costs) with limited depth. Justification relies on opinion rather than business logic.</w:t>
            </w:r>
          </w:p>
        </w:tc>
        <w:tc>
          <w:tcPr>
            <w:tcW w:type="dxa" w:w="1728"/>
          </w:tcPr>
          <w:p>
            <w:r>
              <w:t>Lacks evaluation; merely describes initiatives or repeats case facts without weighing trade-offs or forming a judgment.</w:t>
            </w:r>
          </w:p>
        </w:tc>
      </w:tr>
      <w:tr>
        <w:tc>
          <w:tcPr>
            <w:tcW w:type="dxa" w:w="1728"/>
          </w:tcPr>
          <w:p>
            <w:r>
              <w:t>business_vocabulary</w:t>
              <w:br/>
              <w:t>(10 marks)</w:t>
            </w:r>
          </w:p>
        </w:tc>
        <w:tc>
          <w:tcPr>
            <w:tcW w:type="dxa" w:w="1728"/>
          </w:tcPr>
          <w:p>
            <w:r>
              <w:t>Consistently and accurately uses advanced Business Studies terminology (e.g., stakeholder engagement, shared value, sustainability reporting, ethical sourcing, reputational capital, supply chain resilience). Language is professional and precise.</w:t>
            </w:r>
          </w:p>
        </w:tc>
        <w:tc>
          <w:tcPr>
            <w:tcW w:type="dxa" w:w="1728"/>
          </w:tcPr>
          <w:p>
            <w:r>
              <w:t>Uses appropriate terminology with occasional lapses into informal language. Key terms are mostly correct.</w:t>
            </w:r>
          </w:p>
        </w:tc>
        <w:tc>
          <w:tcPr>
            <w:tcW w:type="dxa" w:w="1728"/>
          </w:tcPr>
          <w:p>
            <w:r>
              <w:t>Relies on basic or vague language (e.g., 'good for business', 'helps the community'). Key CSR/ethics terms are missing or misused.</w:t>
            </w:r>
          </w:p>
        </w:tc>
        <w:tc>
          <w:tcPr>
            <w:tcW w:type="dxa" w:w="1728"/>
          </w:tcPr>
          <w:p>
            <w:r>
              <w:t>Vocabulary is inappropriate, colloquial, or demonstrates fundamental misunderstanding of Business Studies concepts (e.g., confusing CSR with advertising).</w:t>
            </w:r>
          </w:p>
        </w:tc>
      </w:tr>
      <w:tr>
        <w:tc>
          <w:tcPr>
            <w:tcW w:type="dxa" w:w="1728"/>
          </w:tcPr>
          <w:p>
            <w:r>
              <w:t>risk_awareness</w:t>
              <w:br/>
              <w:t>(10 marks)</w:t>
            </w:r>
          </w:p>
        </w:tc>
        <w:tc>
          <w:tcPr>
            <w:tcW w:type="dxa" w:w="1728"/>
          </w:tcPr>
          <w:p>
            <w:r>
              <w:t>Identifies and analyses multiple realistic risks (e.g., certification maintenance costs, consumer scepticism, supply chain disruptions, competitor imitation, changing regulations) and links them to strategic implications for GreenLeaf Organics.</w:t>
            </w:r>
          </w:p>
        </w:tc>
        <w:tc>
          <w:tcPr>
            <w:tcW w:type="dxa" w:w="1728"/>
          </w:tcPr>
          <w:p>
            <w:r>
              <w:t>Identifies 2–3 relevant risks with basic explanation. May lack depth in analysis or connection to long-term strategy.</w:t>
            </w:r>
          </w:p>
        </w:tc>
        <w:tc>
          <w:tcPr>
            <w:tcW w:type="dxa" w:w="1728"/>
          </w:tcPr>
          <w:p>
            <w:r>
              <w:t>Mentions risks in a generic way (e.g., 'there are risks') without specifying what they are or how they affect the business.</w:t>
            </w:r>
          </w:p>
        </w:tc>
        <w:tc>
          <w:tcPr>
            <w:tcW w:type="dxa" w:w="1728"/>
          </w:tcPr>
          <w:p>
            <w:r>
              <w:t>Ignores risks entirely or presents implausible/irrelevant risks (e.g., 'risk of losing customers because they are too ethical').</w:t>
            </w:r>
          </w:p>
        </w:tc>
      </w:tr>
      <w:tr>
        <w:tc>
          <w:tcPr>
            <w:tcW w:type="dxa" w:w="1728"/>
          </w:tcPr>
          <w:p>
            <w:r>
              <w:t>recommendation_quality</w:t>
              <w:br/>
              <w:t>(10 marks)</w:t>
            </w:r>
          </w:p>
        </w:tc>
        <w:tc>
          <w:tcPr>
            <w:tcW w:type="dxa" w:w="1728"/>
          </w:tcPr>
          <w:p>
            <w:r>
              <w:t>Provides 2–3 specific, innovative, and feasible recommendations (e.g., blockchain traceability, renewable energy investment, supplier CSR audits, youth entrepreneurship fund) that are directly tied to case weaknesses or future opportunities. Each recommendation includes clear rationale and expected impact.</w:t>
            </w:r>
          </w:p>
        </w:tc>
        <w:tc>
          <w:tcPr>
            <w:tcW w:type="dxa" w:w="1728"/>
          </w:tcPr>
          <w:p>
            <w:r>
              <w:t>Offers relevant recommendations that are practical and case-linked, but may lack specificity, innovation, or clear implementation logic.</w:t>
            </w:r>
          </w:p>
        </w:tc>
        <w:tc>
          <w:tcPr>
            <w:tcW w:type="dxa" w:w="1728"/>
          </w:tcPr>
          <w:p>
            <w:r>
              <w:t>Recommendations are generic (e.g., 'continue CSR', 'be more ethical') and not uniquely suited to GreenLeaf Organics’ context or challenges.</w:t>
            </w:r>
          </w:p>
        </w:tc>
        <w:tc>
          <w:tcPr>
            <w:tcW w:type="dxa" w:w="1728"/>
          </w:tcPr>
          <w:p>
            <w:r>
              <w:t>Recommendations are absent, irrelevant, or contradict the case (e.g., 'reduce CSR to cut costs').</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concept_accuracy (max 15)</w:t>
            </w:r>
          </w:p>
        </w:tc>
        <w:tc>
          <w:tcPr>
            <w:tcW w:type="dxa" w:w="4320"/>
          </w:tcPr>
          <w:p>
            <w:r>
              <w:t>_____ / 15</w:t>
            </w:r>
          </w:p>
        </w:tc>
      </w:tr>
      <w:tr>
        <w:tc>
          <w:tcPr>
            <w:tcW w:type="dxa" w:w="4320"/>
          </w:tcPr>
          <w:p>
            <w:r>
              <w:t>case_application (max 20)</w:t>
            </w:r>
          </w:p>
        </w:tc>
        <w:tc>
          <w:tcPr>
            <w:tcW w:type="dxa" w:w="4320"/>
          </w:tcPr>
          <w:p>
            <w:r>
              <w:t>_____ / 20</w:t>
            </w:r>
          </w:p>
        </w:tc>
      </w:tr>
      <w:tr>
        <w:tc>
          <w:tcPr>
            <w:tcW w:type="dxa" w:w="4320"/>
          </w:tcPr>
          <w:p>
            <w:r>
              <w:t>justification (max 15)</w:t>
            </w:r>
          </w:p>
        </w:tc>
        <w:tc>
          <w:tcPr>
            <w:tcW w:type="dxa" w:w="4320"/>
          </w:tcPr>
          <w:p>
            <w:r>
              <w:t>_____ / 15</w:t>
            </w:r>
          </w:p>
        </w:tc>
      </w:tr>
      <w:tr>
        <w:tc>
          <w:tcPr>
            <w:tcW w:type="dxa" w:w="4320"/>
          </w:tcPr>
          <w:p>
            <w:r>
              <w:t>business_vocabulary (max 10)</w:t>
            </w:r>
          </w:p>
        </w:tc>
        <w:tc>
          <w:tcPr>
            <w:tcW w:type="dxa" w:w="4320"/>
          </w:tcPr>
          <w:p>
            <w:r>
              <w:t>_____ / 10</w:t>
            </w:r>
          </w:p>
        </w:tc>
      </w:tr>
      <w:tr>
        <w:tc>
          <w:tcPr>
            <w:tcW w:type="dxa" w:w="4320"/>
          </w:tcPr>
          <w:p>
            <w:r>
              <w:t>risk_awareness (max 10)</w:t>
            </w:r>
          </w:p>
        </w:tc>
        <w:tc>
          <w:tcPr>
            <w:tcW w:type="dxa" w:w="4320"/>
          </w:tcPr>
          <w:p>
            <w:r>
              <w:t>_____ / 10</w:t>
            </w:r>
          </w:p>
        </w:tc>
      </w:tr>
      <w:tr>
        <w:tc>
          <w:tcPr>
            <w:tcW w:type="dxa" w:w="4320"/>
          </w:tcPr>
          <w:p>
            <w:r>
              <w:t>recommendation_quality (max 10)</w:t>
            </w:r>
          </w:p>
        </w:tc>
        <w:tc>
          <w:tcPr>
            <w:tcW w:type="dxa" w:w="4320"/>
          </w:tcPr>
          <w:p>
            <w:r>
              <w:t>_____ / 10</w:t>
            </w:r>
          </w:p>
        </w:tc>
      </w:tr>
      <w:tr>
        <w:tc>
          <w:tcPr>
            <w:tcW w:type="dxa" w:w="4320"/>
          </w:tcPr>
          <w:p>
            <w:r>
              <w:rPr>
                <w:b/>
              </w:rPr>
              <w:t>TOTAL</w:t>
            </w:r>
          </w:p>
        </w:tc>
        <w:tc>
          <w:tcPr>
            <w:tcW w:type="dxa" w:w="4320"/>
          </w:tcPr>
          <w:p>
            <w:r>
              <w:rPr>
                <w:b/>
              </w:rPr>
              <w:t>_____ / 50</w:t>
            </w:r>
          </w:p>
        </w:tc>
      </w:tr>
    </w:tbl>
    <w:p/>
    <w:p>
      <w:r>
        <w:t>____________________________________________________________</w:t>
      </w:r>
    </w:p>
    <w:p>
      <w:pPr>
        <w:jc w:val="center"/>
      </w:pPr>
      <w:r>
        <w:rPr>
          <w:b/>
        </w:rPr>
        <w:t>TOTAL EXAM MARKS: 125</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