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(1st Opportunity)</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August 2026</w:t>
            </w:r>
          </w:p>
        </w:tc>
      </w:tr>
      <w:tr>
        <w:tc>
          <w:tcPr>
            <w:tcW w:type="dxa" w:w="4320"/>
          </w:tcPr>
          <w:p>
            <w:r>
              <w:t>Instructions:</w:t>
            </w:r>
          </w:p>
        </w:tc>
        <w:tc>
          <w:tcPr>
            <w:tcW w:type="dxa" w:w="4320"/>
          </w:tcPr>
          <w:p>
            <w:r>
              <w:t>Answer ALL questions</w:t>
            </w:r>
          </w:p>
        </w:tc>
      </w:tr>
    </w:tbl>
    <w:p/>
    <w:p>
      <w:r>
        <w:rPr>
          <w:b/>
          <w:sz w:val="28"/>
        </w:rPr>
        <w:t>QUESTION 1: The Cuban Missile Crisis (1962)</w:t>
      </w:r>
    </w:p>
    <w:p>
      <w:r>
        <w:rPr>
          <w:i/>
        </w:rPr>
        <w:t>[25 marks]</w:t>
      </w:r>
    </w:p>
    <w:p>
      <w:r>
        <w:rPr>
          <w:b/>
        </w:rPr>
        <w:t xml:space="preserve">Source A: </w:t>
      </w:r>
      <w:r>
        <w:t>Speech - Television and Radio Address to the Nation on the Cuban Missile Crisis</w:t>
      </w:r>
    </w:p>
    <w:p>
      <w:r>
        <w:t>Author/Origin: President John F. Kennedy, October 22, 1962</w:t>
      </w:r>
    </w:p>
    <w:p>
      <w:r>
        <w:rPr>
          <w:i/>
        </w:rPr>
        <w:t>Good evening, my fellow citizens: This Government, as promised, has maintained the closest surveillance of the Soviet military buildup on the island of Cuba. Within the past week, unmistakable evidence has established the fact that a series of offensive missile sites is now in preparation on that imprisoned island. The purpose of these bases can be none other than to provide a nuclear strike capability against the Western Hemisphere... Acting, therefore, in the defense of our own security and of the entire Western Hemisphere, and under the authority entrusted to me by the Constitution as endorsed by the resolution of the Congress, I have directed that the following initial steps be taken immediately: First, to halt this offensive buildup, a strict quarantine on all offensive military equipment under shipment to Cuba is being initiated. All ships of any kind bound for Cuba from whatever nation or port will, if found to contain cargoes of offensive weapons, be turned back...</w:t>
      </w:r>
    </w:p>
    <w:p>
      <w:r>
        <w:rPr>
          <w:sz w:val="20"/>
        </w:rPr>
        <w:t>Context: Delivered on national television and radio, this speech announced the discovery of Soviet nuclear missiles in Cuba and the U.S. naval 'quarantine' (blockade) of the island. It marked the public beginning of the Cuban Missile Crisis, bringing the world to the brink of nuclear war. Kennedy framed the quarantine as a defensive measure to prevent further Soviet military buildup and demanded the removal of existing missiles.</w:t>
      </w:r>
    </w:p>
    <w:p/>
    <w:p>
      <w:r>
        <w:rPr>
          <w:b/>
        </w:rPr>
        <w:t xml:space="preserve">Source B: </w:t>
      </w:r>
      <w:r>
        <w:t>Memoir Excerpt - Khrushchev Remembers</w:t>
      </w:r>
    </w:p>
    <w:p>
      <w:r>
        <w:t>Author/Origin: Nikita Khrushchev, 1970 (published posthumously)</w:t>
      </w:r>
    </w:p>
    <w:p>
      <w:r>
        <w:rPr>
          <w:i/>
        </w:rPr>
        <w:t>We decided to place our missiles in Cuba not only to defend Cuba from another U.S. invasion—after the Bay of Pigs, Castro genuinely feared another attack—but also to restore the strategic balance. The United States had surrounded our borders with military bases and missiles in Turkey, Italy, and elsewhere. We wanted to make them feel what it was like to have enemy missiles pointed at them. When Kennedy announced the blockade, I was furious. But war would have meant madness. After days of tense negotiation, we agreed to withdraw the missiles in exchange for a U.S. pledge not to invade Cuba and, secretly, the removal of U.S. Jupiter missiles from Turkey. It was not a defeat—it was a victory for peace.</w:t>
      </w:r>
    </w:p>
    <w:p>
      <w:r>
        <w:rPr>
          <w:sz w:val="20"/>
        </w:rPr>
        <w:t>Context: This excerpt comes from Khrushchev’s memoirs, dictated in retirement and published after his removal from power. It reveals the Soviet rationale for deploying missiles to Cuba: to counter U.S. missiles near the USSR and to protect Castro’s regime. The mention of the secret Turkey deal confirms what was later confirmed by declassified documents—that the crisis ended with a mutual withdrawal, though the U.S. publicly denied the Turkey part to save face.</w:t>
      </w:r>
    </w:p>
    <w:p/>
    <w:p>
      <w:r>
        <w:rPr>
          <w:b/>
        </w:rPr>
        <w:t xml:space="preserve">Source C: </w:t>
      </w:r>
      <w:r>
        <w:t>Photograph - U-2 Spy Plane Photograph of Soviet Missile Site in San Cristóbal, Cuba</w:t>
      </w:r>
    </w:p>
    <w:p>
      <w:r>
        <w:t>Author/Origin: United States Air Force (reconnaissance), October 14, 1962</w:t>
      </w:r>
    </w:p>
    <w:p>
      <w:r>
        <w:rPr>
          <w:i/>
        </w:rPr>
        <w:t>Black-and-white aerial photograph showing distinct circular patterns on the ground indicative of missile launch pads, associated support structures, fuel storage areas, and vehicle tracks. The image clearly depicts the layout of an SS-4 'Sandal' medium-range ballistic missile installation, with multiple launch sites arranged in a grid pattern typical of Soviet military deployment. The terrain is rural and vegetated, with the sites camouflaged but identifiable by their geometric precision.</w:t>
      </w:r>
    </w:p>
    <w:p>
      <w:r>
        <w:rPr>
          <w:sz w:val="20"/>
        </w:rPr>
        <w:t>Context: This photograph was taken by an American U-2 spy plane piloted by Major Richard Heyser. It provided the first concrete evidence of Soviet offensive missile installations in Cuba, directly triggering the Cuban Missile Crisis. The image was analyzed by the National Photographic Interpretation Center (NPIC) and presented to President Kennedy on October 16, 1962, beginning the Executive Committee of the National Security Council (ExComm) meetings. The photo’s clarity left no doubt about the nature and intent of the Soviet buildup.</w:t>
      </w:r>
    </w:p>
    <w:p/>
    <w:p>
      <w:r>
        <w:rPr>
          <w:b/>
        </w:rPr>
        <w:t>Study the sources above and answer the following questions:</w:t>
      </w:r>
    </w:p>
    <w:p>
      <w:r>
        <w:t xml:space="preserve">1.1 </w:t>
      </w:r>
      <w:r>
        <w:t xml:space="preserve">[Source A] </w:t>
      </w:r>
      <w:r>
        <w:t>Identify TWO actions taken by the United States in response to the Soviet missile buildup in Cuba as stated by President Kennedy in Source A.</w:t>
      </w:r>
      <w:r>
        <w:rPr>
          <w:b/>
        </w:rPr>
        <w:t xml:space="preserve"> (2)</w:t>
      </w:r>
    </w:p>
    <w:p>
      <w:r>
        <w:t xml:space="preserve">1.2 </w:t>
      </w:r>
      <w:r>
        <w:t xml:space="preserve">[Source C] </w:t>
      </w:r>
      <w:r>
        <w:t>What specific evidence from Source C confirms the presence of Soviet missile installations in Cuba?</w:t>
      </w:r>
      <w:r>
        <w:rPr>
          <w:b/>
        </w:rPr>
        <w:t xml:space="preserve"> (2)</w:t>
      </w:r>
    </w:p>
    <w:p>
      <w:r>
        <w:t xml:space="preserve">2.1 </w:t>
      </w:r>
      <w:r>
        <w:t xml:space="preserve">[Source B] </w:t>
      </w:r>
      <w:r>
        <w:t>Explain TWO reasons why Khrushchev decided to place missiles in Cuba, according to his memoir in Source B.</w:t>
      </w:r>
      <w:r>
        <w:rPr>
          <w:b/>
        </w:rPr>
        <w:t xml:space="preserve"> (4)</w:t>
      </w:r>
    </w:p>
    <w:p>
      <w:r>
        <w:t xml:space="preserve">2.2 </w:t>
      </w:r>
      <w:r>
        <w:t xml:space="preserve">[Source A] </w:t>
      </w:r>
      <w:r>
        <w:t>Using Source A, explain why President Kennedy justified the U.S. quarantine of Cuba as a defensive measure.</w:t>
      </w:r>
      <w:r>
        <w:rPr>
          <w:b/>
        </w:rPr>
        <w:t xml:space="preserve"> (4)</w:t>
      </w:r>
    </w:p>
    <w:p>
      <w:r>
        <w:t xml:space="preserve">3.1 </w:t>
      </w:r>
      <w:r>
        <w:t xml:space="preserve">[Source B] </w:t>
      </w:r>
      <w:r>
        <w:t>Evaluate the reliability of Khrushchev's claim in Source B that the missile withdrawal was 'not a defeat—it was a victory for peace'. Consider the context in which the memoir was written.</w:t>
      </w:r>
      <w:r>
        <w:rPr>
          <w:b/>
        </w:rPr>
        <w:t xml:space="preserve"> (6)</w:t>
      </w:r>
    </w:p>
    <w:p>
      <w:r>
        <w:t xml:space="preserve">3.2 </w:t>
      </w:r>
      <w:r>
        <w:t xml:space="preserve">[Source A] </w:t>
      </w:r>
      <w:r>
        <w:t>Analyze how President Kennedy's language in Source A serves to legitimize U.S. actions during the Cuban Missile Crisis.</w:t>
      </w:r>
      <w:r>
        <w:rPr>
          <w:b/>
        </w:rPr>
        <w:t xml:space="preserve"> (6)</w:t>
      </w:r>
    </w:p>
    <w:p>
      <w:r>
        <w:t xml:space="preserve">4.1 </w:t>
      </w:r>
      <w:r>
        <w:t xml:space="preserve">[Sources A and B] </w:t>
      </w:r>
      <w:r>
        <w:t>Compare the perspectives of Kennedy (Source A) and Khrushchev (Source B) on the motivations behind the missile deployment in Cuba. How do their accounts differ, and what might explain these differences?</w:t>
      </w:r>
      <w:r>
        <w:rPr>
          <w:b/>
        </w:rPr>
        <w:t xml:space="preserve"> (8)</w:t>
      </w:r>
    </w:p>
    <w:p/>
    <w:p>
      <w:r>
        <w:t>____________________________________________________________</w:t>
      </w:r>
    </w:p>
    <w:p>
      <w:r>
        <w:rPr>
          <w:b/>
          <w:sz w:val="28"/>
        </w:rPr>
        <w:t>QUESTION 2: The Division of Germany (1945-1949)</w:t>
      </w:r>
    </w:p>
    <w:p>
      <w:r>
        <w:rPr>
          <w:i/>
        </w:rPr>
        <w:t>[25 marks]</w:t>
      </w:r>
    </w:p>
    <w:p>
      <w:r>
        <w:rPr>
          <w:b/>
        </w:rPr>
        <w:t xml:space="preserve">Source A: </w:t>
      </w:r>
      <w:r>
        <w:t>Speech - Statement by President Harry S. Truman on the Truman Doctrine</w:t>
      </w:r>
    </w:p>
    <w:p>
      <w:r>
        <w:t>Author/Origin: Harry S. Truman, March 12, 1947</w:t>
      </w:r>
    </w:p>
    <w:p>
      <w:r>
        <w:rPr>
          <w:i/>
        </w:rPr>
        <w:t>I believe that it must be the policy of the United States to support free peoples who are resisting attempted subjugation by armed minorities or by outside pressures. I believe that we must assist free peoples to work out their own destinies in their own way. Our help should be primarily through economic and financial aid which is essential to economic stability and orderly political processes. The seeds of totalitarian regimes are nurtured by misery and want. They spread and grow in the evil soil of poverty and strife. They reach their full growth when the hope of a people for a better life has died. We must keep that hope alive.</w:t>
      </w:r>
    </w:p>
    <w:p>
      <w:r>
        <w:rPr>
          <w:sz w:val="20"/>
        </w:rPr>
        <w:t>Context: Delivered before a joint session of Congress, this speech marked a pivotal shift in U.S. foreign policy toward containment of Soviet expansion. Though focused on Greece and Turkey, the Truman Doctrine laid the ideological foundation for American involvement in Europe, including the division of Germany. It signaled U.S. commitment to rebuilding Western Europe economically and politically to prevent communist takeovers, directly influencing the Marshall Plan and the eventual creation of West Germany in 1949.</w:t>
      </w:r>
    </w:p>
    <w:p/>
    <w:p>
      <w:r>
        <w:rPr>
          <w:b/>
        </w:rPr>
        <w:t xml:space="preserve">Source B: </w:t>
      </w:r>
      <w:r>
        <w:t>Political Cartoon - The Berlin Blockade</w:t>
      </w:r>
    </w:p>
    <w:p>
      <w:r>
        <w:t>Author/Origin: David Low, June 24, 1948</w:t>
      </w:r>
    </w:p>
    <w:p>
      <w:r>
        <w:rPr>
          <w:i/>
        </w:rPr>
        <w:t>The cartoon depicts Soviet leader Joseph Stalin as a bulky, menacing figure standing atop a pile of coal sacks labeled 'Berlin Coal,' blocking a narrow railroad track leading into a besieged Berlin. West Berlin is shown as a small, starving city with desperate civilians reaching toward the sky where American and British cargo planes (labeled 'USAAF' and 'RAF') fly in formation, dropping supplies via parachute. Stalin scowls and shakes his fist at the planes, while a broken sign reads 'Blockade Lifted? Never!' In the foreground, a German child holds a sign: 'Thank You, Allies.' The style is stark and symbolic, using Low’s characteristic sharp lines and dark shading to convey tension and resilience.</w:t>
      </w:r>
    </w:p>
    <w:p>
      <w:r>
        <w:rPr>
          <w:sz w:val="20"/>
        </w:rPr>
        <w:t>Context: Published on the first day of the Soviet blockade of West Berlin, this cartoon by renowned British cartoonist David Low captures the immediacy and moral clarity of the Western response. The USSR had cut off all land and water access to West Berlin in an attempt to force the Allies to abandon the city. Low’s work glorifies the Berlin Airlift as a humanitarian and democratic triumph, portraying the Soviets as aggressors and the Western powers as resolute defenders of freedom. The cartoon helped shape public opinion in Britain and the U.S. in favor of sustaining the airlift, which ultimately succeeded and led to the formal division of Germany into two states in 1949.</w:t>
      </w:r>
    </w:p>
    <w:p/>
    <w:p>
      <w:r>
        <w:rPr>
          <w:b/>
        </w:rPr>
        <w:t xml:space="preserve">Source C: </w:t>
      </w:r>
      <w:r>
        <w:t>Treaty / Legal Document - Constitution of the Federal Republic of Germany (Basic Law) – Preamble and Article 20</w:t>
      </w:r>
    </w:p>
    <w:p>
      <w:r>
        <w:t>Author/Origin: Parlamentarischer Rat (Parliamentary Council), May 23, 1949</w:t>
      </w:r>
    </w:p>
    <w:p>
      <w:r>
        <w:rPr>
          <w:i/>
        </w:rPr>
        <w:t>Preamble: Conscious of their responsibility before God and man, Inspired by the determination to promote world peace as an equal partner in a united Europe, the German people, in the exercise of their constituent power, have adopted this Basic Law. Germans in the Länder of Baden-Württemberg, Bavaria, Bremen, Hamburg, Hesse, Lower Saxony, North Rhine-Westphalia, Rhineland-Palatinate, Schleswig-Holstein, and Württemberg-Hohenzollern have, in free democratic elections, delegated their power to the Parlamentarischer Rat, which has adopted this Basic Law. Article 20(1): The Federal Republic of Germany is a democratic and social federal state. (2) All state authority is derived from the people. It shall be exercised by the people through elections and other votes and through specific legislative, executive, and judicial bodies. (3) The legislature shall be bound by the constitutional order, the executive and the judiciary by law and justice. (4) All Germans shall have the right to resist any person seeking to abolish this constitutional order, if no other remedy is available.</w:t>
      </w:r>
    </w:p>
    <w:p>
      <w:r>
        <w:rPr>
          <w:sz w:val="20"/>
        </w:rPr>
        <w:t>Context: Adopted by the Parliamentary Council in Bonn and promulgated on May 23, 1949, the Basic Law (Grundgesetz) served as the provisional constitution of the Federal Republic of Germany (West Germany). It was deliberately designed to be a robust democratic safeguard against the failures of the Weimar Republic and the Nazi era, emphasizing human dignity, federalism, and the rule of law. Though intended as temporary pending reunification, it became the enduring constitution of a unified Germany after 1990. Its adoption formalized the political division of Germany, contrasting sharply with the Soviet-backed constitutional process in the East that led to the establishment of the German Democratic Republic (GDR) in October 1949.</w:t>
      </w:r>
    </w:p>
    <w:p/>
    <w:p>
      <w:r>
        <w:rPr>
          <w:b/>
        </w:rPr>
        <w:t>Study the sources above and answer the following questions:</w:t>
      </w:r>
    </w:p>
    <w:p>
      <w:r>
        <w:t xml:space="preserve">1.1 </w:t>
      </w:r>
      <w:r>
        <w:t xml:space="preserve">[Source A] </w:t>
      </w:r>
      <w:r>
        <w:t>Identify two ways in which Truman suggests the United States should assist free peoples resisting subjugation.</w:t>
      </w:r>
      <w:r>
        <w:rPr>
          <w:b/>
        </w:rPr>
        <w:t xml:space="preserve"> (2)</w:t>
      </w:r>
    </w:p>
    <w:p>
      <w:r>
        <w:t xml:space="preserve">1.2 </w:t>
      </w:r>
      <w:r>
        <w:t xml:space="preserve">[Source B] </w:t>
      </w:r>
      <w:r>
        <w:t>From the cartoon, identify two actions taken by the Western Allies to support West Berlin during the blockade.</w:t>
      </w:r>
      <w:r>
        <w:rPr>
          <w:b/>
        </w:rPr>
        <w:t xml:space="preserve"> (2)</w:t>
      </w:r>
    </w:p>
    <w:p>
      <w:r>
        <w:t xml:space="preserve">1.3 </w:t>
      </w:r>
      <w:r>
        <w:t xml:space="preserve">[Source C] </w:t>
      </w:r>
      <w:r>
        <w:t>State two principles of government outlined in Article 20 of the Basic Law of the Federal Republic of Germany.</w:t>
      </w:r>
      <w:r>
        <w:rPr>
          <w:b/>
        </w:rPr>
        <w:t xml:space="preserve"> (2)</w:t>
      </w:r>
    </w:p>
    <w:p>
      <w:r>
        <w:t xml:space="preserve">2.1 </w:t>
      </w:r>
      <w:r>
        <w:t xml:space="preserve">[Source A] </w:t>
      </w:r>
      <w:r>
        <w:t>Explain how Truman links economic hardship to the spread of totalitarian regimes, using evidence from the source.</w:t>
      </w:r>
      <w:r>
        <w:rPr>
          <w:b/>
        </w:rPr>
        <w:t xml:space="preserve"> (3)</w:t>
      </w:r>
    </w:p>
    <w:p>
      <w:r>
        <w:t xml:space="preserve">2.2 </w:t>
      </w:r>
      <w:r>
        <w:t xml:space="preserve">[Source B] </w:t>
      </w:r>
      <w:r>
        <w:t>Explain the message conveyed by the cartoonist regarding Soviet actions during the Berlin Blockade.</w:t>
      </w:r>
      <w:r>
        <w:rPr>
          <w:b/>
        </w:rPr>
        <w:t xml:space="preserve"> (4)</w:t>
      </w:r>
    </w:p>
    <w:p>
      <w:r>
        <w:t xml:space="preserve">2.3 </w:t>
      </w:r>
      <w:r>
        <w:t xml:space="preserve">[Source C] </w:t>
      </w:r>
      <w:r>
        <w:t>Explain how the Preamble and Article 20 of the Basic Law reflect the lessons learned from the Nazi era.</w:t>
      </w:r>
      <w:r>
        <w:rPr>
          <w:b/>
        </w:rPr>
        <w:t xml:space="preserve"> (4)</w:t>
      </w:r>
    </w:p>
    <w:p>
      <w:r>
        <w:t xml:space="preserve">3.1 </w:t>
      </w:r>
      <w:r>
        <w:t xml:space="preserve">[Source A] </w:t>
      </w:r>
      <w:r>
        <w:t>Analyze the extent to which the Truman Doctrine justified U.S. involvement in the division of Germany after 1945.</w:t>
      </w:r>
      <w:r>
        <w:rPr>
          <w:b/>
        </w:rPr>
        <w:t xml:space="preserve"> (5)</w:t>
      </w:r>
    </w:p>
    <w:p>
      <w:r>
        <w:t xml:space="preserve">3.2 </w:t>
      </w:r>
      <w:r>
        <w:t xml:space="preserve">[Source B] </w:t>
      </w:r>
      <w:r>
        <w:t>Analyze the reliability of Source B as evidence of Soviet intentions during the Berlin Blockade.</w:t>
      </w:r>
      <w:r>
        <w:rPr>
          <w:b/>
        </w:rPr>
        <w:t xml:space="preserve"> (6)</w:t>
      </w:r>
    </w:p>
    <w:p>
      <w:r>
        <w:t xml:space="preserve">4.1 </w:t>
      </w:r>
      <w:r>
        <w:t xml:space="preserve">[Sources A, B, and C] </w:t>
      </w:r>
      <w:r>
        <w:t>Using all three sources, evaluate the effectiveness of the Western Allied response to Soviet actions in Germany between 1945 and 1949.</w:t>
      </w:r>
      <w:r>
        <w:rPr>
          <w:b/>
        </w:rPr>
        <w:t xml:space="preserve"> (8)</w:t>
      </w:r>
    </w:p>
    <w:p/>
    <w:p>
      <w:r>
        <w:t>____________________________________________________________</w:t>
      </w:r>
    </w:p>
    <w:p>
      <w:r>
        <w:rPr>
          <w:b/>
          <w:sz w:val="28"/>
        </w:rPr>
        <w:t>QUESTION 3: METHODOLOGY</w:t>
      </w:r>
    </w:p>
    <w:p>
      <w:r>
        <w:rPr>
          <w:i/>
        </w:rPr>
        <w:t>[25 marks]</w:t>
      </w:r>
    </w:p>
    <w:p>
      <w:r>
        <w:t>Design a 60-minute lesson plan for Grade 10 History learners on the topic 'The Berlin Airlift' that demonstrates effective pedagogical practice. Your lesson plan must integrate historical thinking skills, engage diverse learners, and align with curriculum objectives. Focus on how you will teach the content, not just what content you will cover.</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Lesson Steps</w:t>
            </w:r>
          </w:p>
        </w:tc>
        <w:tc>
          <w:tcPr>
            <w:tcW w:type="dxa" w:w="2160"/>
          </w:tcPr>
          <w:p>
            <w:r>
              <w:t>Clear, detailed steps with logical progression, including time allocations, teacher and learner activities, and smooth transitions between phases</w:t>
            </w:r>
          </w:p>
        </w:tc>
        <w:tc>
          <w:tcPr>
            <w:tcW w:type="dxa" w:w="2160"/>
          </w:tcPr>
          <w:p>
            <w:r>
              <w:t>Adequate steps with basic sequence but limited detail on activities or timing</w:t>
            </w:r>
          </w:p>
        </w:tc>
        <w:tc>
          <w:tcPr>
            <w:tcW w:type="dxa" w:w="2160"/>
          </w:tcPr>
          <w:p>
            <w:r>
              <w:t>Minimal or unclear steps; lacks coherence or learner engagement focus</w:t>
            </w:r>
          </w:p>
        </w:tc>
      </w:tr>
      <w:tr>
        <w:tc>
          <w:tcPr>
            <w:tcW w:type="dxa" w:w="2160"/>
          </w:tcPr>
          <w:p>
            <w:r>
              <w:t>Resources</w:t>
            </w:r>
          </w:p>
        </w:tc>
        <w:tc>
          <w:tcPr>
            <w:tcW w:type="dxa" w:w="2160"/>
          </w:tcPr>
          <w:p>
            <w:r>
              <w:t>Varied, appropriate resources identified (e.g., primary sources, maps, multimedia) with clear rationale for their use in supporting learning objectives</w:t>
            </w:r>
          </w:p>
        </w:tc>
        <w:tc>
          <w:tcPr>
            <w:tcW w:type="dxa" w:w="2160"/>
          </w:tcPr>
          <w:p>
            <w:r>
              <w:t>Some resources mentioned but lacks variety or clear connection to lesson goals</w:t>
            </w:r>
          </w:p>
        </w:tc>
        <w:tc>
          <w:tcPr>
            <w:tcW w:type="dxa" w:w="2160"/>
          </w:tcPr>
          <w:p>
            <w:r>
              <w:t>Limited resource identification; mostly generic or irrelevant</w:t>
            </w:r>
          </w:p>
        </w:tc>
      </w:tr>
      <w:tr>
        <w:tc>
          <w:tcPr>
            <w:tcW w:type="dxa" w:w="2160"/>
          </w:tcPr>
          <w:p>
            <w:r>
              <w:t>Aim &amp; Outcomes</w:t>
            </w:r>
          </w:p>
        </w:tc>
        <w:tc>
          <w:tcPr>
            <w:tcW w:type="dxa" w:w="2160"/>
          </w:tcPr>
          <w:p>
            <w:r>
              <w:t>Clear, measurable learning outcomes using action verbs (e.g., analyse, compare, evaluate) that are specific, achievable, and aligned with historical understanding</w:t>
            </w:r>
          </w:p>
        </w:tc>
        <w:tc>
          <w:tcPr>
            <w:tcW w:type="dxa" w:w="2160"/>
          </w:tcPr>
          <w:p>
            <w:r>
              <w:t>Outcomes present but vague or overly broad (e.g., 'learn about' instead of 'analyse the causes')</w:t>
            </w:r>
          </w:p>
        </w:tc>
        <w:tc>
          <w:tcPr>
            <w:tcW w:type="dxa" w:w="2160"/>
          </w:tcPr>
          <w:p>
            <w:r>
              <w:t>Unclear or missing outcomes; no indication of what learners should know or do</w:t>
            </w:r>
          </w:p>
        </w:tc>
      </w:tr>
      <w:tr>
        <w:tc>
          <w:tcPr>
            <w:tcW w:type="dxa" w:w="2160"/>
          </w:tcPr>
          <w:p>
            <w:r>
              <w:t>Historical Skills</w:t>
            </w:r>
          </w:p>
        </w:tc>
        <w:tc>
          <w:tcPr>
            <w:tcW w:type="dxa" w:w="2160"/>
          </w:tcPr>
          <w:p>
            <w:r>
              <w:t>Multiple historical skills integrated effectively (e.g., source analysis, causation, empathy, chronological thinking) with explicit explanation of how each is developed</w:t>
            </w:r>
          </w:p>
        </w:tc>
        <w:tc>
          <w:tcPr>
            <w:tcW w:type="dxa" w:w="2160"/>
          </w:tcPr>
          <w:p>
            <w:r>
              <w:t>Some skills mentioned but not clearly linked to activities or learner development</w:t>
            </w:r>
          </w:p>
        </w:tc>
        <w:tc>
          <w:tcPr>
            <w:tcW w:type="dxa" w:w="2160"/>
          </w:tcPr>
          <w:p>
            <w:r>
              <w:t>Limited skill integration; focuses mainly on content recall</w:t>
            </w:r>
          </w:p>
        </w:tc>
      </w:tr>
      <w:tr>
        <w:tc>
          <w:tcPr>
            <w:tcW w:type="dxa" w:w="2160"/>
          </w:tcPr>
          <w:p>
            <w:r>
              <w:t>Classroom Management</w:t>
            </w:r>
          </w:p>
        </w:tc>
        <w:tc>
          <w:tcPr>
            <w:tcW w:type="dxa" w:w="2160"/>
          </w:tcPr>
          <w:p>
            <w:r>
              <w:t>Detailed strategies for diverse learners (e.g., differentiation, language support, behaviour expectations, inclusive participation) tied to specific lesson phases</w:t>
            </w:r>
          </w:p>
        </w:tc>
        <w:tc>
          <w:tcPr>
            <w:tcW w:type="dxa" w:w="2160"/>
          </w:tcPr>
          <w:p>
            <w:r>
              <w:t>Basic management strategies mentioned (e.g., group work, questioning) but lacks specificity or differentiation</w:t>
            </w:r>
          </w:p>
        </w:tc>
        <w:tc>
          <w:tcPr>
            <w:tcW w:type="dxa" w:w="2160"/>
          </w:tcPr>
          <w:p>
            <w:r>
              <w:t>Minimal consideration; no attention to learner diversity or behavioural expectations</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w:t>
      </w:r>
    </w:p>
    <w:p>
      <w:r>
        <w:rPr>
          <w:i/>
        </w:rPr>
        <w:t>[50 marks]</w:t>
      </w:r>
    </w:p>
    <w:p>
      <w:r>
        <w:rPr>
          <w:i/>
        </w:rPr>
        <w:t>The Vietnam War (1955-1975) was the first televised conflict in American history, with unprecedented access granted to journalists who brought graphic images of combat, casualties, and atrocities into living rooms across the nation. As U.S. troop levels peaked in 1968 and events like the Tet Offensive and My Lai massacre dominated news cycles, public support for the war steadily declined. Historians continue to debate whether media reporting actively shaped public opinion or merely reflected pre-existing societal divisions and growing disillusionment with government policy. This question invites students to analyze the complex relationship between media representation, public perception, and political decision-making during one of the most divisive episodes in 20th-century American history.</w:t>
      </w:r>
    </w:p>
    <w:p>
      <w:r>
        <w:t>Evaluate the extent to which media coverage of the Vietnam War was the primary factor in shifting American public opinion from support to opposition between 1965 and 1973, and assess whether this shift ultimately determined the outcome of the war.</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Content &amp; Knowledge</w:t>
              <w:br/>
              <w:t>(15 marks)</w:t>
            </w:r>
          </w:p>
        </w:tc>
        <w:tc>
          <w:tcPr>
            <w:tcW w:type="dxa" w:w="1728"/>
          </w:tcPr>
          <w:p>
            <w:r>
              <w:t>[13-15]</w:t>
              <w:br/>
              <w:t>Demonstrates comprehensive and accurate knowledge of key media developments (e.g., rise of television news, combat reporting, Pentagon Papers), major turning points in public opinion (Gallup polls post-Tet, 1968), and relevant historical context including government responses (e.g., Johnson’s credibility gap, Nixon’s Vietnamization). Shows nuanced understanding of differing historical interpretations.</w:t>
            </w:r>
          </w:p>
        </w:tc>
        <w:tc>
          <w:tcPr>
            <w:tcW w:type="dxa" w:w="1728"/>
          </w:tcPr>
          <w:p>
            <w:r>
              <w:t>[10-12]</w:t>
              <w:br/>
              <w:t>Displays solid knowledge with minor omissions or slight inaccuracies; covers most key events and concepts but may lack depth in certain areas (e.g., limited discussion of print media or international perspectives).</w:t>
            </w:r>
          </w:p>
        </w:tc>
        <w:tc>
          <w:tcPr>
            <w:tcW w:type="dxa" w:w="1728"/>
          </w:tcPr>
          <w:p>
            <w:r>
              <w:t>[7-9]</w:t>
              <w:br/>
              <w:t>Shows basic understanding of the topic but with notable gaps in factual detail or chronology; may conflate events or overgeneralize media influence without sufficient specificity.</w:t>
            </w:r>
          </w:p>
        </w:tc>
        <w:tc>
          <w:tcPr>
            <w:tcW w:type="dxa" w:w="1728"/>
          </w:tcPr>
          <w:p>
            <w:r>
              <w:t>[0-6]</w:t>
              <w:br/>
              <w:t>Exhibits limited or fragmented knowledge; significant inaccuracies, reliance on vague generalizations, or failure to distinguish between media types and time periods.</w:t>
            </w:r>
          </w:p>
        </w:tc>
      </w:tr>
      <w:tr>
        <w:tc>
          <w:tcPr>
            <w:tcW w:type="dxa" w:w="1728"/>
          </w:tcPr>
          <w:p>
            <w:r>
              <w:t>Analysis &amp; Argumentation</w:t>
              <w:br/>
              <w:t>(15 marks)</w:t>
            </w:r>
          </w:p>
        </w:tc>
        <w:tc>
          <w:tcPr>
            <w:tcW w:type="dxa" w:w="1728"/>
          </w:tcPr>
          <w:p>
            <w:r>
              <w:t>[13-15]</w:t>
              <w:br/>
              <w:t>Constructs a sophisticated, nuanced argument with a clear thesis that directly engages with the question’s dual focus (causation and significance). Evaluates multiple factors (media, government credibility, casualties, draft, civil rights movement) and weighs their relative importance. Shows awareness of historiographical debate (e.g., Hallin vs. Herman &amp; Chomsky) and avoids determinism.</w:t>
            </w:r>
          </w:p>
        </w:tc>
        <w:tc>
          <w:tcPr>
            <w:tcW w:type="dxa" w:w="1728"/>
          </w:tcPr>
          <w:p>
            <w:r>
              <w:t>[10-12]</w:t>
              <w:br/>
              <w:t>Presents a clear argument with reasonable analysis; may rely somewhat on description but attempts to evaluate causality and significance. Some engagement with counterarguments or complexity.</w:t>
            </w:r>
          </w:p>
        </w:tc>
        <w:tc>
          <w:tcPr>
            <w:tcW w:type="dxa" w:w="1728"/>
          </w:tcPr>
          <w:p>
            <w:r>
              <w:t>[7-9]</w:t>
              <w:br/>
              <w:t>Argument is present but underdeveloped or inconsistent; tends toward narrative description rather than analysis. Limited evaluation of competing factors or oversimplification of media’s role.</w:t>
            </w:r>
          </w:p>
        </w:tc>
        <w:tc>
          <w:tcPr>
            <w:tcW w:type="dxa" w:w="1728"/>
          </w:tcPr>
          <w:p>
            <w:r>
              <w:t>[0-6]</w:t>
              <w:br/>
              <w:t>Lacks a coherent argument; response is predominantly descriptive or factual listing with minimal analytical engagement. Fails to address the evaluative nature of the question.</w:t>
            </w:r>
          </w:p>
        </w:tc>
      </w:tr>
      <w:tr>
        <w:tc>
          <w:tcPr>
            <w:tcW w:type="dxa" w:w="1728"/>
          </w:tcPr>
          <w:p>
            <w:r>
              <w:t>Use of Evidence</w:t>
              <w:br/>
              <w:t>(10 marks)</w:t>
            </w:r>
          </w:p>
        </w:tc>
        <w:tc>
          <w:tcPr>
            <w:tcW w:type="dxa" w:w="1728"/>
          </w:tcPr>
          <w:p>
            <w:r>
              <w:t>[9-10]</w:t>
              <w:br/>
              <w:t>Consistently integrates specific, relevant evidence (e.g., Cronkite’s 1968 editorial, Life magazine’s ‘Faces of the Dead’, poll data, NBC footage of Tet Offensive, Pentagon Papers revelations) to support analytical points. Evidence is accurately interpreted and directly linked to argument.</w:t>
            </w:r>
          </w:p>
        </w:tc>
        <w:tc>
          <w:tcPr>
            <w:tcW w:type="dxa" w:w="1728"/>
          </w:tcPr>
          <w:p>
            <w:r>
              <w:t>[7-8]</w:t>
              <w:br/>
              <w:t>Uses appropriate evidence with some gaps; may rely on a few well-known examples without broader range. Generally accurate but occasional lapses in relevance or precision.</w:t>
            </w:r>
          </w:p>
        </w:tc>
        <w:tc>
          <w:tcPr>
            <w:tcW w:type="dxa" w:w="1728"/>
          </w:tcPr>
          <w:p>
            <w:r>
              <w:t>[5-6]</w:t>
              <w:br/>
              <w:t>Evidence is limited, generic, or occasionally inaccurate; may include irrelevant details or fail to connect examples to argument effectively.</w:t>
            </w:r>
          </w:p>
        </w:tc>
        <w:tc>
          <w:tcPr>
            <w:tcW w:type="dxa" w:w="1728"/>
          </w:tcPr>
          <w:p>
            <w:r>
              <w:t>[0-4]</w:t>
              <w:br/>
              <w:t>Little to no supporting evidence; relies on assertions, vague references, or personal opinion without factual basis.</w:t>
            </w:r>
          </w:p>
        </w:tc>
      </w:tr>
      <w:tr>
        <w:tc>
          <w:tcPr>
            <w:tcW w:type="dxa" w:w="1728"/>
          </w:tcPr>
          <w:p>
            <w:r>
              <w:t>Structure &amp; Coherence</w:t>
              <w:br/>
              <w:t>(5 marks)</w:t>
            </w:r>
          </w:p>
        </w:tc>
        <w:tc>
          <w:tcPr>
            <w:tcW w:type="dxa" w:w="1728"/>
          </w:tcPr>
          <w:p>
            <w:r>
              <w:t>[5]</w:t>
              <w:br/>
              <w:t>Logical and effective structure: strong introduction contextualizing the debate and presenting a clear thesis; well-organized body paragraphs progressing through thematic or chronological analysis; compelling conclusion that synthesizes arguments and directly answers the question. Seamless transitions.</w:t>
            </w:r>
          </w:p>
        </w:tc>
        <w:tc>
          <w:tcPr>
            <w:tcW w:type="dxa" w:w="1728"/>
          </w:tcPr>
          <w:p>
            <w:r>
              <w:t>[4]</w:t>
              <w:br/>
              <w:t>Clear overall structure with introduction, body, and conclusion; minor lapses in flow or paragraph focus but maintains coherence.</w:t>
            </w:r>
          </w:p>
        </w:tc>
        <w:tc>
          <w:tcPr>
            <w:tcW w:type="dxa" w:w="1728"/>
          </w:tcPr>
          <w:p>
            <w:r>
              <w:t>[3]</w:t>
              <w:br/>
              <w:t>Noticeable issues with organization (e.g., weak thesis, repetitive points, poor paragraphing) that hinder clarity but do not destroy coherence.</w:t>
            </w:r>
          </w:p>
        </w:tc>
        <w:tc>
          <w:tcPr>
            <w:tcW w:type="dxa" w:w="1728"/>
          </w:tcPr>
          <w:p>
            <w:r>
              <w:t>[0-2]</w:t>
              <w:br/>
              <w:t>Disorganized or incoherent; lacks clear progression, jumps between ideas without logic, or missing key structural elements.</w:t>
            </w:r>
          </w:p>
        </w:tc>
      </w:tr>
      <w:tr>
        <w:tc>
          <w:tcPr>
            <w:tcW w:type="dxa" w:w="1728"/>
          </w:tcPr>
          <w:p>
            <w:r>
              <w:t>Language &amp; Expression</w:t>
              <w:br/>
              <w:t>(5 marks)</w:t>
            </w:r>
          </w:p>
        </w:tc>
        <w:tc>
          <w:tcPr>
            <w:tcW w:type="dxa" w:w="1728"/>
          </w:tcPr>
          <w:p>
            <w:r>
              <w:t>[5]</w:t>
              <w:br/>
              <w:t>Precise, fluent academic language; accurate use of historical terminology (e.g., ‘living-room war’, ‘credibility gap’, ‘media framing’); tone appropriate for formal assessment. Virtually free of errors.</w:t>
            </w:r>
          </w:p>
        </w:tc>
        <w:tc>
          <w:tcPr>
            <w:tcW w:type="dxa" w:w="1728"/>
          </w:tcPr>
          <w:p>
            <w:r>
              <w:t>[4]</w:t>
              <w:br/>
              <w:t>Clear and generally effective expression; minor lapses in tone, word choice, or grammar that do not impede understanding.</w:t>
            </w:r>
          </w:p>
        </w:tc>
        <w:tc>
          <w:tcPr>
            <w:tcW w:type="dxa" w:w="1728"/>
          </w:tcPr>
          <w:p>
            <w:r>
              <w:t>[3]</w:t>
              <w:br/>
              <w:t>Noticeable language issues (e.g., informal phrasing, repetitive syntax, occasional grammatical errors) that distract but do not obscure meaning.</w:t>
            </w:r>
          </w:p>
        </w:tc>
        <w:tc>
          <w:tcPr>
            <w:tcW w:type="dxa" w:w="1728"/>
          </w:tcPr>
          <w:p>
            <w:r>
              <w:t>[0-2]</w:t>
              <w:br/>
              <w:t>Significant problems with grammar, spelling, clarity, or register that severely impede communication and undermine academic credibility.</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Content &amp; Knowledge (max 15)</w:t>
            </w:r>
          </w:p>
        </w:tc>
        <w:tc>
          <w:tcPr>
            <w:tcW w:type="dxa" w:w="4320"/>
          </w:tcPr>
          <w:p>
            <w:r>
              <w:t>_____ / 15</w:t>
            </w:r>
          </w:p>
        </w:tc>
      </w:tr>
      <w:tr>
        <w:tc>
          <w:tcPr>
            <w:tcW w:type="dxa" w:w="4320"/>
          </w:tcPr>
          <w:p>
            <w:r>
              <w:t>Analysis &amp; Argumentation (max 15)</w:t>
            </w:r>
          </w:p>
        </w:tc>
        <w:tc>
          <w:tcPr>
            <w:tcW w:type="dxa" w:w="4320"/>
          </w:tcPr>
          <w:p>
            <w:r>
              <w:t>_____ / 15</w:t>
            </w:r>
          </w:p>
        </w:tc>
      </w:tr>
      <w:tr>
        <w:tc>
          <w:tcPr>
            <w:tcW w:type="dxa" w:w="4320"/>
          </w:tcPr>
          <w:p>
            <w:r>
              <w:t>Use of Evidence (max 10)</w:t>
            </w:r>
          </w:p>
        </w:tc>
        <w:tc>
          <w:tcPr>
            <w:tcW w:type="dxa" w:w="4320"/>
          </w:tcPr>
          <w:p>
            <w:r>
              <w:t>_____ / 10</w:t>
            </w:r>
          </w:p>
        </w:tc>
      </w:tr>
      <w:tr>
        <w:tc>
          <w:tcPr>
            <w:tcW w:type="dxa" w:w="4320"/>
          </w:tcPr>
          <w:p>
            <w:r>
              <w:t>Structure &amp; Coherence (max 5)</w:t>
            </w:r>
          </w:p>
        </w:tc>
        <w:tc>
          <w:tcPr>
            <w:tcW w:type="dxa" w:w="4320"/>
          </w:tcPr>
          <w:p>
            <w:r>
              <w:t>_____ / 5</w:t>
            </w:r>
          </w:p>
        </w:tc>
      </w:tr>
      <w:tr>
        <w:tc>
          <w:tcPr>
            <w:tcW w:type="dxa" w:w="4320"/>
          </w:tcPr>
          <w:p>
            <w:r>
              <w:t>Language &amp; Expression (max 5)</w:t>
            </w:r>
          </w:p>
        </w:tc>
        <w:tc>
          <w:tcPr>
            <w:tcW w:type="dxa" w:w="4320"/>
          </w:tcPr>
          <w:p>
            <w:r>
              <w:t>_____ / 5</w:t>
            </w:r>
          </w:p>
        </w:tc>
      </w:tr>
      <w:tr>
        <w:tc>
          <w:tcPr>
            <w:tcW w:type="dxa" w:w="4320"/>
          </w:tcPr>
          <w:p>
            <w:r>
              <w:rPr>
                <w:b/>
              </w:rPr>
              <w:t>TOTAL</w:t>
            </w:r>
          </w:p>
        </w:tc>
        <w:tc>
          <w:tcPr>
            <w:tcW w:type="dxa" w:w="4320"/>
          </w:tcPr>
          <w:p>
            <w:r>
              <w:rPr>
                <w:b/>
              </w:rPr>
              <w:t>_____ / 50</w:t>
            </w:r>
          </w:p>
        </w:tc>
      </w:tr>
    </w:tbl>
    <w:p/>
    <w:p>
      <w:pPr>
        <w:jc w:val="center"/>
      </w:pPr>
      <w:r>
        <w:rPr>
          <w:b/>
        </w:rPr>
        <w:t>TOTAL: 125 marks</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