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p>
      <w:pPr>
        <w:jc w:val="center"/>
      </w:pPr>
      <w:r>
        <w:rPr>
          <w:b/>
          <w:sz w:val="24"/>
        </w:rPr>
        <w:t>(2nd Opportunity)</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August 2026</w:t>
            </w:r>
          </w:p>
        </w:tc>
      </w:tr>
      <w:tr>
        <w:tc>
          <w:tcPr>
            <w:tcW w:type="dxa" w:w="4320"/>
          </w:tcPr>
          <w:p>
            <w:r>
              <w:t>Instructions:</w:t>
            </w:r>
          </w:p>
        </w:tc>
        <w:tc>
          <w:tcPr>
            <w:tcW w:type="dxa" w:w="4320"/>
          </w:tcPr>
          <w:p>
            <w:r>
              <w:t>Answer ALL questions</w:t>
            </w:r>
          </w:p>
        </w:tc>
      </w:tr>
    </w:tbl>
    <w:p/>
    <w:p>
      <w:r>
        <w:rPr>
          <w:b/>
          <w:sz w:val="28"/>
        </w:rPr>
        <w:t>QUESTION 1: The Cuban Missile Crisis (1962)</w:t>
      </w:r>
    </w:p>
    <w:p>
      <w:r>
        <w:rPr>
          <w:i/>
        </w:rPr>
        <w:t>[25 marks]</w:t>
      </w:r>
    </w:p>
    <w:p>
      <w:r>
        <w:rPr>
          <w:b/>
        </w:rPr>
        <w:t xml:space="preserve">Source A: </w:t>
      </w:r>
      <w:r>
        <w:t>Newspaper Editorial - Cuba’s Right to Self-Defense</w:t>
      </w:r>
    </w:p>
    <w:p>
      <w:r>
        <w:t>Author/Origin: Editorial Board, October 25, 1962</w:t>
      </w:r>
    </w:p>
    <w:p>
      <w:r>
        <w:rPr>
          <w:i/>
        </w:rPr>
        <w:t>The imperialist aggression of the United States, manifested in the blockade of our island and the threats of invasion, cannot intimidate the Cuban people. We have sought only to defend our sovereignty against repeated acts of aggression, including the Bay of Pigs invasion and continuous economic strangulation. The placement of defensive weapons in Cuba is a sovereign right, no different from the U.S. deployment of Jupiter missiles in Turkey and Italy—weapons aimed directly at our territory. Let the world see: it is not Cuba that threatens peace, but a superpower that seeks to deny a small nation its dignity and security through coercion and double standards.</w:t>
      </w:r>
    </w:p>
    <w:p>
      <w:r>
        <w:rPr>
          <w:sz w:val="20"/>
        </w:rPr>
        <w:t>Context: Published during the height of the Cuban Missile Crisis, this editorial from Granma reflects the Cuban government’s official stance as articulated by Fidel Castro’s regime. It frames the Soviet missile deployment as a legitimate act of self-defense in response to U.S. hostility, including the failed Bay of Pigs invasion (1961) and ongoing economic sanctions. By drawing a parallel to U.S. Jupiter missiles in NATO allies, the editorial challenges American claims of unilateral threat, attempting to shift moral equivalence onto the crisis. This source reveals how Cuba positioned itself not merely as a Soviet client but as an active defender of its revolutionary sovereignty.</w:t>
      </w:r>
    </w:p>
    <w:p/>
    <w:p>
      <w:r>
        <w:rPr>
          <w:b/>
        </w:rPr>
        <w:t xml:space="preserve">Source B: </w:t>
      </w:r>
      <w:r>
        <w:t>Photograph - Soviet Freighter Aksay Carrying Missile Components</w:t>
      </w:r>
    </w:p>
    <w:p>
      <w:r>
        <w:t>Author/Origin: U.S. Central Intelligence Agency (CIA) / National Photographic Interpretation Center (NPIC), October 24, 1962</w:t>
      </w:r>
    </w:p>
    <w:p>
      <w:r>
        <w:rPr>
          <w:i/>
        </w:rPr>
        <w:t>A black-and-white aerial photograph taken from high altitude showing the Soviet freighter Aksay underway in the Caribbean Sea. The vessel’s deck is partially obscured by tarpaulins, but distinctive cylindrical shapes consistent with missile transporters or crates for R-12 Dvina medium-range ballistic missiles are visible under the coverings. Wake patterns indicate steady speed. In the lower right corner, a timestamp reads '24 OCT 62 14:30Z' and geolocation coordinates place the ship approximately 200 nautical miles northeast of Puerto Rico, en route to Cuba. The image bears typical NPIC annotations: arrows pointing to suspicious cargo, elevation markers, and classification stamps.</w:t>
      </w:r>
    </w:p>
    <w:p>
      <w:r>
        <w:rPr>
          <w:sz w:val="20"/>
        </w:rPr>
        <w:t>Context: This image is part of the corpus of U-2 and low-level reconnaissance photography used by the Kennedy administration during the Cuban Missile Crisis to monitor Soviet shipments to Cuba. The Aksay was one of several Soviet vessels tracked during the naval quarantine (blockade) proclaimed by President Kennedy on October 22. While the cargo was not definitively confirmed as missiles in real time, analysts suspected it carried missile-related equipment based on size, shape, and prior intelligence. The photo exemplifies the reliance on technical intelligence (TECHINT) to verify Soviet compliance—or evasion—during the crisis. Its declassification in later decades provided historians with concrete visual evidence of the superpower standoff at sea.</w:t>
      </w:r>
    </w:p>
    <w:p/>
    <w:p>
      <w:r>
        <w:rPr>
          <w:b/>
        </w:rPr>
        <w:t xml:space="preserve">Source C: </w:t>
      </w:r>
      <w:r>
        <w:t>Memoir Excerpt - Reflections on the Brink</w:t>
      </w:r>
    </w:p>
    <w:p>
      <w:r>
        <w:t>Author/Origin: Anastas Mikoyan, 1994 (published posthumously)</w:t>
      </w:r>
    </w:p>
    <w:p>
      <w:r>
        <w:rPr>
          <w:i/>
        </w:rPr>
        <w:t>When I arrived in Havana on November 2, 1962, I found Castro furious—not at the Americans, but at Khrushchev for withdrawing the missiles without consulting him. ‘We were ready to fight,’ he told me, ‘to die if necessary, so long as Cuba remained free.’ I had to explain that nuclear war was not a policy option, that the world could not survive such a madness. But I also understood his anger: Cuba had been made to feel like a pawn in a game between giants. Still, I urged him: the missiles were never meant to stay. They were a deterrent, a counterweight to American aggression. Now that the U.S. had pledged not to invade—and we had secured that promise—their purpose was served. To keep them would invite annihilation. Peace, not pride, must guide revolution.</w:t>
      </w:r>
    </w:p>
    <w:p>
      <w:r>
        <w:rPr>
          <w:sz w:val="20"/>
        </w:rPr>
        <w:t>Context: This excerpt is drawn from the memoirs of Anastas Mikoyan, the senior Soviet envoy sent to Cuba in early November 1962 to manage the aftermath of the missile withdrawal and negotiate the removal of Soviet IL-28 bombers (which Khrushchev had initially agreed to withdraw but later delayed). Mikoyan’s account, published after the Soviet collapse, offers a rare candid perspective from a high-ranking official who interacted directly with Fidel Castro during the tense post-crisis period. It reveals Castro’s deep sense of betrayal and commitment to revolutionary defiance, contrasted with Mikoyan’s pragmatic emphasis on nuclear restraint and diplomatic realism. The memoir underscores the divergence between Soviet and Cuban objectives: while Moscow sought to de-escalate, Havana viewed the crisis as a struggle for national dignity. Historians value this source for illuminating the limits of Soviet control over its ally and the emotional aftermath of the crisis on the ground in Cuba.</w:t>
      </w:r>
    </w:p>
    <w:p/>
    <w:p>
      <w:r>
        <w:rPr>
          <w:b/>
        </w:rPr>
        <w:t>Study the sources above and answer the following questions:</w:t>
      </w:r>
    </w:p>
    <w:p>
      <w:r>
        <w:t xml:space="preserve">1.1 </w:t>
      </w:r>
      <w:r>
        <w:t xml:space="preserve">[Source A] </w:t>
      </w:r>
      <w:r>
        <w:t>According to the editorial in Source A, what two actions by the United States are described as acts of aggression against Cuba?</w:t>
      </w:r>
      <w:r>
        <w:rPr>
          <w:b/>
        </w:rPr>
        <w:t xml:space="preserve"> (2)</w:t>
      </w:r>
    </w:p>
    <w:p>
      <w:r>
        <w:t xml:space="preserve">1.2 </w:t>
      </w:r>
      <w:r>
        <w:t xml:space="preserve">[Source B] </w:t>
      </w:r>
      <w:r>
        <w:t>Identify two pieces of evidence in Source B that suggest the Soviet freighter Aksay was carrying missile components to Cuba.</w:t>
      </w:r>
      <w:r>
        <w:rPr>
          <w:b/>
        </w:rPr>
        <w:t xml:space="preserve"> (2)</w:t>
      </w:r>
    </w:p>
    <w:p>
      <w:r>
        <w:t xml:space="preserve">1.3 </w:t>
      </w:r>
      <w:r>
        <w:t xml:space="preserve">[Source C] </w:t>
      </w:r>
      <w:r>
        <w:t>According to Mikoyan in Source C, what was the primary purpose of placing missiles in Cuba?</w:t>
      </w:r>
      <w:r>
        <w:rPr>
          <w:b/>
        </w:rPr>
        <w:t xml:space="preserve"> (2)</w:t>
      </w:r>
    </w:p>
    <w:p>
      <w:r>
        <w:t xml:space="preserve">2.1 </w:t>
      </w:r>
      <w:r>
        <w:t xml:space="preserve">[Source A] </w:t>
      </w:r>
      <w:r>
        <w:t>Explain how the editorial in Source A justifies Cuba’s placement of Soviet missiles in terms of sovereignty and self-defense.</w:t>
      </w:r>
      <w:r>
        <w:rPr>
          <w:b/>
        </w:rPr>
        <w:t xml:space="preserve"> (3)</w:t>
      </w:r>
    </w:p>
    <w:p>
      <w:r>
        <w:t xml:space="preserve">2.2 </w:t>
      </w:r>
      <w:r>
        <w:t xml:space="preserve">[Source B] </w:t>
      </w:r>
      <w:r>
        <w:t>Explain why the photograph in Source B was significant during the Cuban Missile Crisis, particularly in the context of U.S. intelligence and decision-making.</w:t>
      </w:r>
      <w:r>
        <w:rPr>
          <w:b/>
        </w:rPr>
        <w:t xml:space="preserve"> (4)</w:t>
      </w:r>
    </w:p>
    <w:p>
      <w:r>
        <w:t xml:space="preserve">3.1 </w:t>
      </w:r>
      <w:r>
        <w:t xml:space="preserve">[Source C] </w:t>
      </w:r>
      <w:r>
        <w:t>Analyze Mikoyan’s perspective in Source C. How does his role as a Soviet envoy influence his interpretation of the crisis and Castro’s reaction to the missile withdrawal?</w:t>
      </w:r>
      <w:r>
        <w:rPr>
          <w:b/>
        </w:rPr>
        <w:t xml:space="preserve"> (5)</w:t>
      </w:r>
    </w:p>
    <w:p>
      <w:r>
        <w:t xml:space="preserve">3.2 </w:t>
      </w:r>
      <w:r>
        <w:t xml:space="preserve">[Source A] </w:t>
      </w:r>
      <w:r>
        <w:t>Evaluate the reliability of Source A as a historical source for understanding Cuba’s motivations during the Cuban Missile Crisis. Consider its origin, purpose, and potential bias.</w:t>
      </w:r>
      <w:r>
        <w:rPr>
          <w:b/>
        </w:rPr>
        <w:t xml:space="preserve"> (6)</w:t>
      </w:r>
    </w:p>
    <w:p>
      <w:r>
        <w:t xml:space="preserve">4.1 </w:t>
      </w:r>
      <w:r>
        <w:t xml:space="preserve">[Sources A and C] </w:t>
      </w:r>
      <w:r>
        <w:t>Using both Source A and Source C, compare how Cuba and the Soviet Union viewed the purpose and significance of the missiles in Cuba during the Missile Crisis. In your answer, highlight similarities and differences in their perspectives.</w:t>
      </w:r>
      <w:r>
        <w:rPr>
          <w:b/>
        </w:rPr>
        <w:t xml:space="preserve"> (8)</w:t>
      </w:r>
    </w:p>
    <w:p/>
    <w:p>
      <w:r>
        <w:t>____________________________________________________________</w:t>
      </w:r>
    </w:p>
    <w:p>
      <w:r>
        <w:rPr>
          <w:b/>
          <w:sz w:val="28"/>
        </w:rPr>
        <w:t>QUESTION 2: The Division of Germany (1945-1949)</w:t>
      </w:r>
    </w:p>
    <w:p>
      <w:r>
        <w:rPr>
          <w:i/>
        </w:rPr>
        <w:t>[25 marks]</w:t>
      </w:r>
    </w:p>
    <w:p>
      <w:r>
        <w:rPr>
          <w:b/>
        </w:rPr>
        <w:t xml:space="preserve">Source A: </w:t>
      </w:r>
      <w:r>
        <w:t>Memoir Excerpt - From the Ruins: A Berliner’s Winter, 1946</w:t>
      </w:r>
    </w:p>
    <w:p>
      <w:r>
        <w:t>Author/Origin: Elisabeth Mann Borgese, January 1947</w:t>
      </w:r>
    </w:p>
    <w:p>
      <w:r>
        <w:rPr>
          <w:i/>
        </w:rPr>
        <w:t>The cold this winter is not just in the air—it is in the bones. Coal rations are cut again; we melt snow for water and burn furniture scraps to keep one room warm. In our building, families share stoves in shifts. The Americans still bring food through Tempelhof, but the Soviets have sealed off the eastern sectors—no trains, no mail, no news from my sister in Prenzlauer Berg. We hear whispers: a new currency is coming in the west. If that happens, will Berlin split in two? I fear we are becoming a laboratory for the Cold War, and ordinary people like us will pay the price in hunger and silence.</w:t>
      </w:r>
    </w:p>
    <w:p>
      <w:r>
        <w:rPr>
          <w:sz w:val="20"/>
        </w:rPr>
        <w:t>Context: Elisabeth Mann Borgese, daughter of novelist Thomas Mann, was a German anti-Nazi intellectual who returned to Berlin in 1946 to work with the U.S. Occupation Authority’s Education Division. Her memoir, written in diary form during the harsh winter of 1946–47, offers a rare civilian perspective on the deepening divide between Allied zones. This excerpt reflects the growing economic and social separation between East and West Berlin prior to the formal blockade, highlighting shortages, restricted movement, and rising anxiety over a potential split.</w:t>
      </w:r>
    </w:p>
    <w:p/>
    <w:p>
      <w:r>
        <w:rPr>
          <w:b/>
        </w:rPr>
        <w:t xml:space="preserve">Source B: </w:t>
      </w:r>
      <w:r>
        <w:t>Political Cartoon - The German Question: Who Gets the Pie?</w:t>
      </w:r>
    </w:p>
    <w:p>
      <w:r>
        <w:t>Author/Origin: Karl Arnold, June 1948</w:t>
      </w:r>
    </w:p>
    <w:p>
      <w:r>
        <w:rPr>
          <w:i/>
        </w:rPr>
        <w:t>A cartoon depicting a map of Germany as a large pie divided into four uneven slices labeled 'USA', 'UK', 'France', and 'USSR'. A Soviet bear, wearing a military coat, reaches aggressively toward the central slice labeled 'Berlin', while the three Western allies sit at a table, nervously guarding their portions. A small German figure in rags watches from the edge, hands empty. In the background, a sign reads 'Allied Control Council – Deadlocked'.</w:t>
      </w:r>
    </w:p>
    <w:p>
      <w:r>
        <w:rPr>
          <w:sz w:val="20"/>
        </w:rPr>
        <w:t>Context: Karl Arnold was a prominent Bavarian cartoonist and editor known for his sharp critiques of both Nazism and postwar Soviet influence. Published in June 1948, just weeks before the Soviet blockade of Berlin began, this cartoon captures the growing tension over the administration of Germany and the symbolic importance of Berlin. The image reflects Western fears of Soviet encroachment and the breakdown of Allied cooperation in the Control Council, which had ceased to function effectively by early 1948 due to Soviet vetoes. The cartoon was widely circulated in West German media as a warning about Soviet ambitions.</w:t>
      </w:r>
    </w:p>
    <w:p/>
    <w:p>
      <w:r>
        <w:rPr>
          <w:b/>
        </w:rPr>
        <w:t xml:space="preserve">Source C: </w:t>
      </w:r>
      <w:r>
        <w:t>Official Report - Report on the Economic Situation in the Soviet Zone of Germany</w:t>
      </w:r>
    </w:p>
    <w:p>
      <w:r>
        <w:t>Author/Origin: U.S. Office of Military Government, Germany (OMGUS), October 1946</w:t>
      </w:r>
    </w:p>
    <w:p>
      <w:r>
        <w:rPr>
          <w:i/>
        </w:rPr>
        <w:t>The Soviet Zone continues to extract reparations at a level far exceeding agreed-upon quotas, dismantling entire factories and shipping them east without compensation. Agricultural production remains below pre-war levels due to lack of fertilizer, fuel, and transport. Meanwhile, food requisitions by Soviet authorities have led to widespread malnutrition, particularly in urban areas. There is growing evidence that the Soviet administration is pursuing a policy of economic strangulation designed to weaken resistance and facilitate eventual political control. In contrast, the Western zones show signs of recovery under Marshall Plan preparatory aid. The divergence in economic trajectories suggests that a unified German economy is becoming increasingly untenable.</w:t>
      </w:r>
    </w:p>
    <w:p>
      <w:r>
        <w:rPr>
          <w:sz w:val="20"/>
        </w:rPr>
        <w:t>Context: This report was prepared by OMGUS economists stationed in Berlin to assess conditions across the occupation zones. By late 1946, it was clear that Soviet reparations policies—including the removal of industrial assets under the guise of 'reparations in kind'—were causing severe economic dislocation in the East. The report played a key role in shaping U.S. policy toward economic separation, contributing to the decision to halt reparations shipments from the West and eventually to introduce a separate currency in the Western zones in 1948. It represents an early official recognition that economic divergence was driving political division.</w:t>
      </w:r>
    </w:p>
    <w:p/>
    <w:p>
      <w:r>
        <w:rPr>
          <w:b/>
        </w:rPr>
        <w:t>Study the sources above and answer the following questions:</w:t>
      </w:r>
    </w:p>
    <w:p>
      <w:r>
        <w:t xml:space="preserve">1.1 </w:t>
      </w:r>
      <w:r>
        <w:t xml:space="preserve">[Source A] </w:t>
      </w:r>
      <w:r>
        <w:t>Identify two hardships faced by Berliners during the winter of 1946 as described in Source A.</w:t>
      </w:r>
      <w:r>
        <w:rPr>
          <w:b/>
        </w:rPr>
        <w:t xml:space="preserve"> (2)</w:t>
      </w:r>
    </w:p>
    <w:p>
      <w:r>
        <w:t xml:space="preserve">1.2 </w:t>
      </w:r>
      <w:r>
        <w:t xml:space="preserve">[Source B] </w:t>
      </w:r>
      <w:r>
        <w:t>From Source B, identify two symbols used by the cartoonist to represent the Soviet Union and the Western Allies.</w:t>
      </w:r>
      <w:r>
        <w:rPr>
          <w:b/>
        </w:rPr>
        <w:t xml:space="preserve"> (2)</w:t>
      </w:r>
    </w:p>
    <w:p>
      <w:r>
        <w:t xml:space="preserve">2.1 </w:t>
      </w:r>
      <w:r>
        <w:t xml:space="preserve">[Source A] </w:t>
      </w:r>
      <w:r>
        <w:t>Explain why Elisabeth Mann Borgese fears that Berlin is becoming 'a laboratory for the Cold War'.</w:t>
      </w:r>
      <w:r>
        <w:rPr>
          <w:b/>
        </w:rPr>
        <w:t xml:space="preserve"> (3)</w:t>
      </w:r>
    </w:p>
    <w:p>
      <w:r>
        <w:t xml:space="preserve">2.2 </w:t>
      </w:r>
      <w:r>
        <w:t xml:space="preserve">[Source C] </w:t>
      </w:r>
      <w:r>
        <w:t>Explain how the economic policies in the Soviet Zone differed from those in the Western zones according to Source C.</w:t>
      </w:r>
      <w:r>
        <w:rPr>
          <w:b/>
        </w:rPr>
        <w:t xml:space="preserve"> (4)</w:t>
      </w:r>
    </w:p>
    <w:p>
      <w:r>
        <w:t xml:space="preserve">3.1 </w:t>
      </w:r>
      <w:r>
        <w:t xml:space="preserve">[Source B] </w:t>
      </w:r>
      <w:r>
        <w:t>Analyze the cartoonist’s perspective in Source B. How might Karl Arnold’s viewpoint influence the portrayal of the Soviet Union and the Western Allies?</w:t>
      </w:r>
      <w:r>
        <w:rPr>
          <w:b/>
        </w:rPr>
        <w:t xml:space="preserve"> (5)</w:t>
      </w:r>
    </w:p>
    <w:p>
      <w:r>
        <w:t xml:space="preserve">3.2 </w:t>
      </w:r>
      <w:r>
        <w:t xml:space="preserve">[Source C] </w:t>
      </w:r>
      <w:r>
        <w:t>Evaluate the reliability of Source C as evidence of Soviet intentions in post-war Germany. Consider its origin, purpose, and content.</w:t>
      </w:r>
      <w:r>
        <w:rPr>
          <w:b/>
        </w:rPr>
        <w:t xml:space="preserve"> (6)</w:t>
      </w:r>
    </w:p>
    <w:p>
      <w:r>
        <w:t xml:space="preserve">4.1 </w:t>
      </w:r>
      <w:r>
        <w:t xml:space="preserve">[Sources A, B, and C] </w:t>
      </w:r>
      <w:r>
        <w:t>Using Sources A, B, and C, explain how the division of Germany was becoming increasingly inevitable by 1948–1949. Refer to economic, political, and social evidence from the sources.</w:t>
      </w:r>
      <w:r>
        <w:rPr>
          <w:b/>
        </w:rPr>
        <w:t xml:space="preserve"> (8)</w:t>
      </w:r>
    </w:p>
    <w:p/>
    <w:p>
      <w:r>
        <w:t>____________________________________________________________</w:t>
      </w:r>
    </w:p>
    <w:p>
      <w:r>
        <w:rPr>
          <w:b/>
          <w:sz w:val="28"/>
        </w:rPr>
        <w:t>QUESTION 3: METHODOLOGY</w:t>
      </w:r>
    </w:p>
    <w:p>
      <w:r>
        <w:rPr>
          <w:i/>
        </w:rPr>
        <w:t>[25 marks]</w:t>
      </w:r>
    </w:p>
    <w:p>
      <w:r>
        <w:t>Using the historical topic of the Berlin Airlift (1948–1949), design a 60-minute lesson plan for Grade 10 History learners that demonstrates your ability to integrate pedagogical content knowledge, historical thinking skills, and inclusive classroom practices. Your lesson plan should go beyond factual recall and focus on developing students’ historical understanding through inquiry, source analysis, and critical engagement with the Cold War context.</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Lesson Steps</w:t>
            </w:r>
          </w:p>
        </w:tc>
        <w:tc>
          <w:tcPr>
            <w:tcW w:type="dxa" w:w="2160"/>
          </w:tcPr>
          <w:p>
            <w:r>
              <w:t>Clear, detailed, and logically sequenced steps (teacher and learner actions) with appropriate timing, transitions, and scaffolding that support deep historical understanding</w:t>
            </w:r>
          </w:p>
        </w:tc>
        <w:tc>
          <w:tcPr>
            <w:tcW w:type="dxa" w:w="2160"/>
          </w:tcPr>
          <w:p>
            <w:r>
              <w:t>Adequate steps with some detail and logical flow, but minor gaps in sequencing, timing, or learner engagement</w:t>
            </w:r>
          </w:p>
        </w:tc>
        <w:tc>
          <w:tcPr>
            <w:tcW w:type="dxa" w:w="2160"/>
          </w:tcPr>
          <w:p>
            <w:r>
              <w:t>Minimal or unclear steps; lacks coherence, teacher/learner differentiation, or logical progression</w:t>
            </w:r>
          </w:p>
        </w:tc>
      </w:tr>
      <w:tr>
        <w:tc>
          <w:tcPr>
            <w:tcW w:type="dxa" w:w="2160"/>
          </w:tcPr>
          <w:p>
            <w:r>
              <w:t>Resources</w:t>
            </w:r>
          </w:p>
        </w:tc>
        <w:tc>
          <w:tcPr>
            <w:tcW w:type="dxa" w:w="2160"/>
          </w:tcPr>
          <w:p>
            <w:r>
              <w:t>Varied, historically appropriate, and pedagogically sound resources identified (e.g., primary sources like Truman’s speech, Stalin’s response, aerial photos, cargo manifests, oral histories, maps, short video clips); resources are clearly linked to learning objectives and promote critical engagement</w:t>
            </w:r>
          </w:p>
        </w:tc>
        <w:tc>
          <w:tcPr>
            <w:tcW w:type="dxa" w:w="2160"/>
          </w:tcPr>
          <w:p>
            <w:r>
              <w:t>Some relevant resources mentioned, but limited variety or unclear connection to lesson aims; may rely heavily on textbooks or secondary summaries</w:t>
            </w:r>
          </w:p>
        </w:tc>
        <w:tc>
          <w:tcPr>
            <w:tcW w:type="dxa" w:w="2160"/>
          </w:tcPr>
          <w:p>
            <w:r>
              <w:t>Limited or inappropriate resource identification; over-reliance on lecture-style delivery with minimal use of authentic or diverse materials</w:t>
            </w:r>
          </w:p>
        </w:tc>
      </w:tr>
      <w:tr>
        <w:tc>
          <w:tcPr>
            <w:tcW w:type="dxa" w:w="2160"/>
          </w:tcPr>
          <w:p>
            <w:r>
              <w:t>Aim &amp; Outcomes</w:t>
            </w:r>
          </w:p>
        </w:tc>
        <w:tc>
          <w:tcPr>
            <w:tcW w:type="dxa" w:w="2160"/>
          </w:tcPr>
          <w:p>
            <w:r>
              <w:t>Aim is clear, focused, and historically significant; learning outcomes are specific, measurable, aligned with CAPS (or equivalent curriculum), and explicitly tied to historical understanding (not just recall)</w:t>
            </w:r>
          </w:p>
        </w:tc>
        <w:tc>
          <w:tcPr>
            <w:tcW w:type="dxa" w:w="2160"/>
          </w:tcPr>
          <w:p>
            <w:r>
              <w:t>Aim and outcomes are present but somewhat vague, broad, or overly focused on content coverage rather than historical thinking</w:t>
            </w:r>
          </w:p>
        </w:tc>
        <w:tc>
          <w:tcPr>
            <w:tcW w:type="dxa" w:w="2160"/>
          </w:tcPr>
          <w:p>
            <w:r>
              <w:t>Aim is missing, unclear, or not historically grounded; outcomes are absent, unmeasurable, or purely factual (e.g., 'students will know the dates of the Airlift')</w:t>
            </w:r>
          </w:p>
        </w:tc>
      </w:tr>
      <w:tr>
        <w:tc>
          <w:tcPr>
            <w:tcW w:type="dxa" w:w="2160"/>
          </w:tcPr>
          <w:p>
            <w:r>
              <w:t>Historical Skills</w:t>
            </w:r>
          </w:p>
        </w:tc>
        <w:tc>
          <w:tcPr>
            <w:tcW w:type="dxa" w:w="2160"/>
          </w:tcPr>
          <w:p>
            <w:r>
              <w:t>Explicit and effective integration of multiple historical thinking skills (e.g., source analysis, contextualization, causation, perspective-taking, evidence-based argumentation) through purposeful activities; skills are developed progressively and linked to the Airlift’s significance</w:t>
            </w:r>
          </w:p>
        </w:tc>
        <w:tc>
          <w:tcPr>
            <w:tcW w:type="dxa" w:w="2160"/>
          </w:tcPr>
          <w:p>
            <w:r>
              <w:t>Some historical skills mentioned or implied, but integration is superficial, inconsistent, or not clearly demonstrated in activities</w:t>
            </w:r>
          </w:p>
        </w:tc>
        <w:tc>
          <w:tcPr>
            <w:tcW w:type="dxa" w:w="2160"/>
          </w:tcPr>
          <w:p>
            <w:r>
              <w:t>Limited or no evidence of historical skill development; lesson focuses on narration or memorization without analytical engagement</w:t>
            </w:r>
          </w:p>
        </w:tc>
      </w:tr>
      <w:tr>
        <w:tc>
          <w:tcPr>
            <w:tcW w:type="dxa" w:w="2160"/>
          </w:tcPr>
          <w:p>
            <w:r>
              <w:t>Classroom Management</w:t>
            </w:r>
          </w:p>
        </w:tc>
        <w:tc>
          <w:tcPr>
            <w:tcW w:type="dxa" w:w="2160"/>
          </w:tcPr>
          <w:p>
            <w:r>
              <w:t>Detailed, proactive strategies for managing diverse learners (e.g., differentiation for varying abilities, language support, engagement techniques for disaffected students, time management, transitions, use of groupings, behaviour expectations); strategies are inclusive, realistic, and tailored to the lesson’s demands</w:t>
            </w:r>
          </w:p>
        </w:tc>
        <w:tc>
          <w:tcPr>
            <w:tcW w:type="dxa" w:w="2160"/>
          </w:tcPr>
          <w:p>
            <w:r>
              <w:t>Basic classroom management strategies mentioned (e.g., clear instructions, time limits, group work), but lack specificity, differentiation, or anticipation of challenges</w:t>
            </w:r>
          </w:p>
        </w:tc>
        <w:tc>
          <w:tcPr>
            <w:tcW w:type="dxa" w:w="2160"/>
          </w:tcPr>
          <w:p>
            <w:r>
              <w:t>Minimal consideration of classroom management; assumes uniform student behaviour or ignores potential disruptions, diversity, or engagement issues</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w:t>
      </w:r>
    </w:p>
    <w:p>
      <w:r>
        <w:rPr>
          <w:i/>
        </w:rPr>
        <w:t>[50 marks]</w:t>
      </w:r>
    </w:p>
    <w:p>
      <w:r>
        <w:rPr>
          <w:i/>
        </w:rPr>
        <w:t>Unlike earlier conflicts where media largely supported wartime narratives, the Vietnam War marked a turning point in which television and print journalism brought graphic, unfiltered images of combat into American homes. This shift coincided with growing skepticism toward official government statements, particularly after events like the Tet Offensive and the publication of the Pentagon Papers. This question invites students to assess whether media did not merely reflect public opinion but actively reshaped the dynamics of trust, transparency, and accountability between citizens and the state in the post-war era.</w:t>
      </w:r>
    </w:p>
    <w:p>
      <w:r>
        <w:t>Evaluate the extent to which media coverage of the Vietnam War fundamentally altered the relationship between the American public and the government, with specific reference to the erosion of public trust and the long-term implications for democratic accountability.</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Content &amp; Knowledge</w:t>
              <w:br/>
              <w:t>(15 marks)</w:t>
            </w:r>
          </w:p>
        </w:tc>
        <w:tc>
          <w:tcPr>
            <w:tcW w:type="dxa" w:w="1728"/>
          </w:tcPr>
          <w:p>
            <w:r>
              <w:t>[13-15]</w:t>
              <w:br/>
              <w:t>Comprehensive knowledge of key media events (e.g., Tet Offensive coverage, My Lai reporting, Pentagon Papers), accurate use of historical terminology, and nuanced understanding of how media influenced public perception of government honesty and war legitimacy.</w:t>
            </w:r>
          </w:p>
        </w:tc>
        <w:tc>
          <w:tcPr>
            <w:tcW w:type="dxa" w:w="1728"/>
          </w:tcPr>
          <w:p>
            <w:r>
              <w:t>[10-12]</w:t>
              <w:br/>
              <w:t>Solid grasp of major developments with minor omissions or generalizations; demonstrates clear understanding of media’s role in shaping public sentiment.</w:t>
            </w:r>
          </w:p>
        </w:tc>
        <w:tc>
          <w:tcPr>
            <w:tcW w:type="dxa" w:w="1728"/>
          </w:tcPr>
          <w:p>
            <w:r>
              <w:t>[7-9]</w:t>
              <w:br/>
              <w:t>Basic knowledge of media coverage and public opinion trends, but with factual inaccuracies, limited depth, or over-reliance on broad generalizations.</w:t>
            </w:r>
          </w:p>
        </w:tc>
        <w:tc>
          <w:tcPr>
            <w:tcW w:type="dxa" w:w="1728"/>
          </w:tcPr>
          <w:p>
            <w:r>
              <w:t>[0-6]</w:t>
              <w:br/>
              <w:t>Limited or fragmented knowledge; significant gaps in understanding of media events, government actions, or public reaction during the Vietnam War era.</w:t>
            </w:r>
          </w:p>
        </w:tc>
      </w:tr>
      <w:tr>
        <w:tc>
          <w:tcPr>
            <w:tcW w:type="dxa" w:w="1728"/>
          </w:tcPr>
          <w:p>
            <w:r>
              <w:t>Analysis &amp; Argumentation</w:t>
              <w:br/>
              <w:t>(15 marks)</w:t>
            </w:r>
          </w:p>
        </w:tc>
        <w:tc>
          <w:tcPr>
            <w:tcW w:type="dxa" w:w="1728"/>
          </w:tcPr>
          <w:p>
            <w:r>
              <w:t>[13-15]</w:t>
              <w:br/>
              <w:t>Sophisticated analysis with a clear, nuanced thesis that evaluates the *extent* of media’s impact on public-government relations; considers multiple perspectives (e.g., media as catalyst vs. reflector), addresses counterarguments, and draws reasoned conclusions about long-term democratic implications.</w:t>
            </w:r>
          </w:p>
        </w:tc>
        <w:tc>
          <w:tcPr>
            <w:tcW w:type="dxa" w:w="1728"/>
          </w:tcPr>
          <w:p>
            <w:r>
              <w:t>[10-12]</w:t>
              <w:br/>
              <w:t>Clear thesis and logical argumentation; good analysis with some evaluation of causality and significance, though may lack full nuance or depth in assessing long-term consequences.</w:t>
            </w:r>
          </w:p>
        </w:tc>
        <w:tc>
          <w:tcPr>
            <w:tcW w:type="dxa" w:w="1728"/>
          </w:tcPr>
          <w:p>
            <w:r>
              <w:t>[7-9]</w:t>
              <w:br/>
              <w:t>Some attempt at argumentation, but analysis is descriptive or superficial; tends to narrate events rather than evaluate media’s transformative role in trust and accountability.</w:t>
            </w:r>
          </w:p>
        </w:tc>
        <w:tc>
          <w:tcPr>
            <w:tcW w:type="dxa" w:w="1728"/>
          </w:tcPr>
          <w:p>
            <w:r>
              <w:t>[0-6]</w:t>
              <w:br/>
              <w:t>Lacks a clear argument or thesis; response is predominantly descriptive, with little to no evaluation of media’s role in altering public-government dynamics.</w:t>
            </w:r>
          </w:p>
        </w:tc>
      </w:tr>
      <w:tr>
        <w:tc>
          <w:tcPr>
            <w:tcW w:type="dxa" w:w="1728"/>
          </w:tcPr>
          <w:p>
            <w:r>
              <w:t>Use of Evidence</w:t>
              <w:br/>
              <w:t>(10 marks)</w:t>
            </w:r>
          </w:p>
        </w:tc>
        <w:tc>
          <w:tcPr>
            <w:tcW w:type="dxa" w:w="1728"/>
          </w:tcPr>
          <w:p>
            <w:r>
              <w:t>[9-10]</w:t>
              <w:br/>
              <w:t>Consistently uses specific, relevant evidence (e.g., televised battle footage, Cronkite’s editorial, Pentagon Papers excerpts, polling data, presidential speeches) to substantiate claims; evidence is well-integrated and critically examined.</w:t>
            </w:r>
          </w:p>
        </w:tc>
        <w:tc>
          <w:tcPr>
            <w:tcW w:type="dxa" w:w="1728"/>
          </w:tcPr>
          <w:p>
            <w:r>
              <w:t>[7-8]</w:t>
              <w:br/>
              <w:t>Good use of relevant evidence with occasional gaps; most points are supported, but some assertions lack specific examples or depth.</w:t>
            </w:r>
          </w:p>
        </w:tc>
        <w:tc>
          <w:tcPr>
            <w:tcW w:type="dxa" w:w="1728"/>
          </w:tcPr>
          <w:p>
            <w:r>
              <w:t>[5-6]</w:t>
              <w:br/>
              <w:t>Limited evidence; relies on generalizations or a few repeated examples; minimal use of primary sources or data.</w:t>
            </w:r>
          </w:p>
        </w:tc>
        <w:tc>
          <w:tcPr>
            <w:tcW w:type="dxa" w:w="1728"/>
          </w:tcPr>
          <w:p>
            <w:r>
              <w:t>[0-4]</w:t>
              <w:br/>
              <w:t>Little to no supporting evidence; assertions are unsupported or based on assumption rather than historical fact.</w:t>
            </w:r>
          </w:p>
        </w:tc>
      </w:tr>
      <w:tr>
        <w:tc>
          <w:tcPr>
            <w:tcW w:type="dxa" w:w="1728"/>
          </w:tcPr>
          <w:p>
            <w:r>
              <w:t>Structure &amp; Coherence</w:t>
              <w:br/>
              <w:t>(5 marks)</w:t>
            </w:r>
          </w:p>
        </w:tc>
        <w:tc>
          <w:tcPr>
            <w:tcW w:type="dxa" w:w="1728"/>
          </w:tcPr>
          <w:p>
            <w:r>
              <w:t>[5]</w:t>
              <w:br/>
              <w:t>Clear introduction with contextualization and thesis; logically organized body paragraphs (e.g., thematic or chronological); strong conclusion that synthesizes argument and addresses significance.</w:t>
            </w:r>
          </w:p>
        </w:tc>
        <w:tc>
          <w:tcPr>
            <w:tcW w:type="dxa" w:w="1728"/>
          </w:tcPr>
          <w:p>
            <w:r>
              <w:t>[4]</w:t>
              <w:br/>
              <w:t>Generally well-structured with clear progression of ideas; minor lapses in flow or transitions.</w:t>
            </w:r>
          </w:p>
        </w:tc>
        <w:tc>
          <w:tcPr>
            <w:tcW w:type="dxa" w:w="1728"/>
          </w:tcPr>
          <w:p>
            <w:r>
              <w:t>[3]</w:t>
              <w:br/>
              <w:t>Noticeable issues with organization; paragraphs may lack focus or logical sequence; conclusion may be weak or absent.</w:t>
            </w:r>
          </w:p>
        </w:tc>
        <w:tc>
          <w:tcPr>
            <w:tcW w:type="dxa" w:w="1728"/>
          </w:tcPr>
          <w:p>
            <w:r>
              <w:t>[0-2]</w:t>
              <w:br/>
              <w:t>Disorganized or incoherent; lacks clear paragraphing, logical development, or sense of direction.</w:t>
            </w:r>
          </w:p>
        </w:tc>
      </w:tr>
      <w:tr>
        <w:tc>
          <w:tcPr>
            <w:tcW w:type="dxa" w:w="1728"/>
          </w:tcPr>
          <w:p>
            <w:r>
              <w:t>Language &amp; Expression</w:t>
              <w:br/>
              <w:t>(5 marks)</w:t>
            </w:r>
          </w:p>
        </w:tc>
        <w:tc>
          <w:tcPr>
            <w:tcW w:type="dxa" w:w="1728"/>
          </w:tcPr>
          <w:p>
            <w:r>
              <w:t>[5]</w:t>
              <w:br/>
              <w:t>Clear, precise, and academic language; appropriate use of historical terminology (e.g., 'credibility gap', 'living-room war', 'agenda-setting'); fluent and sophisticated expression.</w:t>
            </w:r>
          </w:p>
        </w:tc>
        <w:tc>
          <w:tcPr>
            <w:tcW w:type="dxa" w:w="1728"/>
          </w:tcPr>
          <w:p>
            <w:r>
              <w:t>[4]</w:t>
              <w:br/>
              <w:t>Generally clear and appropriate language; occasional informality or minor imprecisions, but meaning is never obscured.</w:t>
            </w:r>
          </w:p>
        </w:tc>
        <w:tc>
          <w:tcPr>
            <w:tcW w:type="dxa" w:w="1728"/>
          </w:tcPr>
          <w:p>
            <w:r>
              <w:t>[3]</w:t>
              <w:br/>
              <w:t>Noticeable language issues (e.g., awkward phrasing, colloquialisms, inconsistent tone); meaning is usually clear but expression hinders effectiveness.</w:t>
            </w:r>
          </w:p>
        </w:tc>
        <w:tc>
          <w:tcPr>
            <w:tcW w:type="dxa" w:w="1728"/>
          </w:tcPr>
          <w:p>
            <w:r>
              <w:t>[0-2]</w:t>
              <w:br/>
              <w:t>Significant problems with grammar, syntax, or vocabulary; impedes communication and undermines academic credibility.</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Content &amp; Knowledge (max 15)</w:t>
            </w:r>
          </w:p>
        </w:tc>
        <w:tc>
          <w:tcPr>
            <w:tcW w:type="dxa" w:w="4320"/>
          </w:tcPr>
          <w:p>
            <w:r>
              <w:t>_____ / 15</w:t>
            </w:r>
          </w:p>
        </w:tc>
      </w:tr>
      <w:tr>
        <w:tc>
          <w:tcPr>
            <w:tcW w:type="dxa" w:w="4320"/>
          </w:tcPr>
          <w:p>
            <w:r>
              <w:t>Analysis &amp; Argumentation (max 15)</w:t>
            </w:r>
          </w:p>
        </w:tc>
        <w:tc>
          <w:tcPr>
            <w:tcW w:type="dxa" w:w="4320"/>
          </w:tcPr>
          <w:p>
            <w:r>
              <w:t>_____ / 15</w:t>
            </w:r>
          </w:p>
        </w:tc>
      </w:tr>
      <w:tr>
        <w:tc>
          <w:tcPr>
            <w:tcW w:type="dxa" w:w="4320"/>
          </w:tcPr>
          <w:p>
            <w:r>
              <w:t>Use of Evidence (max 10)</w:t>
            </w:r>
          </w:p>
        </w:tc>
        <w:tc>
          <w:tcPr>
            <w:tcW w:type="dxa" w:w="4320"/>
          </w:tcPr>
          <w:p>
            <w:r>
              <w:t>_____ / 10</w:t>
            </w:r>
          </w:p>
        </w:tc>
      </w:tr>
      <w:tr>
        <w:tc>
          <w:tcPr>
            <w:tcW w:type="dxa" w:w="4320"/>
          </w:tcPr>
          <w:p>
            <w:r>
              <w:t>Structure &amp; Coherence (max 5)</w:t>
            </w:r>
          </w:p>
        </w:tc>
        <w:tc>
          <w:tcPr>
            <w:tcW w:type="dxa" w:w="4320"/>
          </w:tcPr>
          <w:p>
            <w:r>
              <w:t>_____ / 5</w:t>
            </w:r>
          </w:p>
        </w:tc>
      </w:tr>
      <w:tr>
        <w:tc>
          <w:tcPr>
            <w:tcW w:type="dxa" w:w="4320"/>
          </w:tcPr>
          <w:p>
            <w:r>
              <w:t>Language &amp; Expression (max 5)</w:t>
            </w:r>
          </w:p>
        </w:tc>
        <w:tc>
          <w:tcPr>
            <w:tcW w:type="dxa" w:w="4320"/>
          </w:tcPr>
          <w:p>
            <w:r>
              <w:t>_____ / 5</w:t>
            </w:r>
          </w:p>
        </w:tc>
      </w:tr>
      <w:tr>
        <w:tc>
          <w:tcPr>
            <w:tcW w:type="dxa" w:w="4320"/>
          </w:tcPr>
          <w:p>
            <w:r>
              <w:rPr>
                <w:b/>
              </w:rPr>
              <w:t>TOTAL</w:t>
            </w:r>
          </w:p>
        </w:tc>
        <w:tc>
          <w:tcPr>
            <w:tcW w:type="dxa" w:w="4320"/>
          </w:tcPr>
          <w:p>
            <w:r>
              <w:rPr>
                <w:b/>
              </w:rPr>
              <w:t>_____ / 50</w:t>
            </w:r>
          </w:p>
        </w:tc>
      </w:tr>
    </w:tbl>
    <w:p/>
    <w:p>
      <w:pPr>
        <w:jc w:val="center"/>
      </w:pPr>
      <w:r>
        <w:rPr>
          <w:b/>
        </w:rPr>
        <w:t>TOTAL: 125 marks</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