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p>
      <w:pPr>
        <w:jc w:val="center"/>
      </w:pPr>
      <w:r>
        <w:rPr>
          <w:b/>
          <w:sz w:val="24"/>
        </w:rPr>
        <w:t>(2nd Opportunity)</w:t>
      </w:r>
    </w:p>
    <w:p>
      <w:pPr>
        <w:jc w:val="center"/>
      </w:pPr>
      <w:r>
        <w:rPr>
          <w:b/>
          <w:color w:val="C00000"/>
          <w:sz w:val="28"/>
        </w:rPr>
        <w:t>MEMORANDUM / MARKING GUIDE</w:t>
      </w:r>
    </w:p>
    <w:p/>
    <w:p>
      <w:r>
        <w:rPr>
          <w:b/>
          <w:sz w:val="28"/>
        </w:rPr>
        <w:t>QUESTION 1: The Cuban Missile Crisis (1962) - ANSWERS</w:t>
      </w:r>
    </w:p>
    <w:p>
      <w:r>
        <w:rPr>
          <w:i/>
        </w:rPr>
        <w:t>[25 marks]</w:t>
      </w:r>
    </w:p>
    <w:p>
      <w:r>
        <w:rPr>
          <w:b/>
        </w:rPr>
        <w:t xml:space="preserve">1.1 </w:t>
      </w:r>
      <w:r>
        <w:t>(2 marks)</w:t>
      </w:r>
    </w:p>
    <w:p>
      <w:r>
        <w:rPr>
          <w:i/>
        </w:rPr>
        <w:t>Question: According to the editorial in Source A, what two actions by the United States are described as acts of aggression against Cuba?</w:t>
      </w:r>
    </w:p>
    <w:p>
      <w:r>
        <w:rPr>
          <w:b/>
        </w:rPr>
        <w:t>Expected Answer Points:</w:t>
      </w:r>
    </w:p>
    <w:p>
      <w:pPr>
        <w:pStyle w:val="ListBullet"/>
      </w:pPr>
      <w:r>
        <w:rPr>
          <w:color w:val="008000"/>
        </w:rPr>
        <w:t>• The Bay of Pigs invasion</w:t>
      </w:r>
    </w:p>
    <w:p>
      <w:pPr>
        <w:pStyle w:val="ListBullet"/>
      </w:pPr>
      <w:r>
        <w:rPr>
          <w:color w:val="008000"/>
        </w:rPr>
        <w:t>• The economic blockade (or economic strangulation) of Cuba</w:t>
      </w:r>
    </w:p>
    <w:p>
      <w:r>
        <w:rPr>
          <w:sz w:val="20"/>
        </w:rPr>
        <w:t>Cognitive Level: 1</w:t>
      </w:r>
    </w:p>
    <w:p/>
    <w:p>
      <w:r>
        <w:rPr>
          <w:b/>
        </w:rPr>
        <w:t xml:space="preserve">1.2 </w:t>
      </w:r>
      <w:r>
        <w:t>(2 marks)</w:t>
      </w:r>
    </w:p>
    <w:p>
      <w:r>
        <w:rPr>
          <w:i/>
        </w:rPr>
        <w:t>Question: Identify two pieces of evidence in Source B that suggest the Soviet freighter Aksay was carrying missile components to Cuba.</w:t>
      </w:r>
    </w:p>
    <w:p>
      <w:r>
        <w:rPr>
          <w:b/>
        </w:rPr>
        <w:t>Expected Answer Points:</w:t>
      </w:r>
    </w:p>
    <w:p>
      <w:pPr>
        <w:pStyle w:val="ListBullet"/>
      </w:pPr>
      <w:r>
        <w:rPr>
          <w:color w:val="008000"/>
        </w:rPr>
        <w:t>• Distinctive cylindrical shapes under tarpaulins consistent with missile transporters or crates for R-12 Dvina missiles</w:t>
      </w:r>
    </w:p>
    <w:p>
      <w:pPr>
        <w:pStyle w:val="ListBullet"/>
      </w:pPr>
      <w:r>
        <w:rPr>
          <w:color w:val="008000"/>
        </w:rPr>
        <w:t>• The ship’s location approximately 200 nautical miles northeast of Puerto Rico, en route to Cuba</w:t>
      </w:r>
    </w:p>
    <w:p>
      <w:r>
        <w:rPr>
          <w:sz w:val="20"/>
        </w:rPr>
        <w:t>Cognitive Level: 1</w:t>
      </w:r>
    </w:p>
    <w:p/>
    <w:p>
      <w:r>
        <w:rPr>
          <w:b/>
        </w:rPr>
        <w:t xml:space="preserve">1.3 </w:t>
      </w:r>
      <w:r>
        <w:t>(2 marks)</w:t>
      </w:r>
    </w:p>
    <w:p>
      <w:r>
        <w:rPr>
          <w:i/>
        </w:rPr>
        <w:t>Question: According to Mikoyan in Source C, what was the primary purpose of placing missiles in Cuba?</w:t>
      </w:r>
    </w:p>
    <w:p>
      <w:r>
        <w:rPr>
          <w:b/>
        </w:rPr>
        <w:t>Expected Answer Points:</w:t>
      </w:r>
    </w:p>
    <w:p>
      <w:pPr>
        <w:pStyle w:val="ListBullet"/>
      </w:pPr>
      <w:r>
        <w:rPr>
          <w:color w:val="008000"/>
        </w:rPr>
        <w:t>• To serve as a deterrent</w:t>
      </w:r>
    </w:p>
    <w:p>
      <w:pPr>
        <w:pStyle w:val="ListBullet"/>
      </w:pPr>
      <w:r>
        <w:rPr>
          <w:color w:val="008000"/>
        </w:rPr>
        <w:t>• To act as a counterweight to American aggression (particularly U.S. missiles in Turkey and Italy)</w:t>
      </w:r>
    </w:p>
    <w:p>
      <w:r>
        <w:rPr>
          <w:sz w:val="20"/>
        </w:rPr>
        <w:t>Cognitive Level: 1</w:t>
      </w:r>
    </w:p>
    <w:p/>
    <w:p>
      <w:r>
        <w:rPr>
          <w:b/>
        </w:rPr>
        <w:t xml:space="preserve">2.1 </w:t>
      </w:r>
      <w:r>
        <w:t>(3 marks)</w:t>
      </w:r>
    </w:p>
    <w:p>
      <w:r>
        <w:rPr>
          <w:i/>
        </w:rPr>
        <w:t>Question: Explain how the editorial in Source A justifies Cuba’s placement of Soviet missiles in terms of sovereignty and self-defense.</w:t>
      </w:r>
    </w:p>
    <w:p>
      <w:r>
        <w:rPr>
          <w:b/>
        </w:rPr>
        <w:t>Expected Answer Points:</w:t>
      </w:r>
    </w:p>
    <w:p>
      <w:pPr>
        <w:pStyle w:val="ListBullet"/>
      </w:pPr>
      <w:r>
        <w:rPr>
          <w:color w:val="008000"/>
        </w:rPr>
        <w:t>• Cuba argues it has a sovereign right to defend itself, just as the U.S. deploys missiles in Turkey and Italy</w:t>
      </w:r>
    </w:p>
    <w:p>
      <w:pPr>
        <w:pStyle w:val="ListBullet"/>
      </w:pPr>
      <w:r>
        <w:rPr>
          <w:color w:val="008000"/>
        </w:rPr>
        <w:t>• The placement is framed as a response to repeated U.S. aggression, including the Bay of Pigs and economic blockade</w:t>
      </w:r>
    </w:p>
    <w:p>
      <w:pPr>
        <w:pStyle w:val="ListBullet"/>
      </w:pPr>
      <w:r>
        <w:rPr>
          <w:color w:val="008000"/>
        </w:rPr>
        <w:t>• Cuba claims it is not threatening peace but resisting imperialist coercion and double standards</w:t>
      </w:r>
    </w:p>
    <w:p>
      <w:r>
        <w:rPr>
          <w:sz w:val="20"/>
        </w:rPr>
        <w:t>Cognitive Level: 2</w:t>
      </w:r>
    </w:p>
    <w:p/>
    <w:p>
      <w:r>
        <w:rPr>
          <w:b/>
        </w:rPr>
        <w:t xml:space="preserve">2.2 </w:t>
      </w:r>
      <w:r>
        <w:t>(4 marks)</w:t>
      </w:r>
    </w:p>
    <w:p>
      <w:r>
        <w:rPr>
          <w:i/>
        </w:rPr>
        <w:t>Question: Explain why the photograph in Source B was significant during the Cuban Missile Crisis, particularly in the context of U.S. intelligence and decision-making.</w:t>
      </w:r>
    </w:p>
    <w:p>
      <w:r>
        <w:rPr>
          <w:b/>
        </w:rPr>
        <w:t>Expected Answer Points:</w:t>
      </w:r>
    </w:p>
    <w:p>
      <w:pPr>
        <w:pStyle w:val="ListBullet"/>
      </w:pPr>
      <w:r>
        <w:rPr>
          <w:color w:val="008000"/>
        </w:rPr>
        <w:t>• It provided visual evidence of Soviet missile shipments to Cuba, confirming U.S. suspicions</w:t>
      </w:r>
    </w:p>
    <w:p>
      <w:pPr>
        <w:pStyle w:val="ListBullet"/>
      </w:pPr>
      <w:r>
        <w:rPr>
          <w:color w:val="008000"/>
        </w:rPr>
        <w:t>• Such photographic intelligence was used by the CIA and NPIC to brief President Kennedy and support the decision to impose a naval blockade</w:t>
      </w:r>
    </w:p>
    <w:p>
      <w:pPr>
        <w:pStyle w:val="ListBullet"/>
      </w:pPr>
      <w:r>
        <w:rPr>
          <w:color w:val="008000"/>
        </w:rPr>
        <w:t>• The image helped demonstrate the offensive nature of the Soviet buildup, contradicting claims of purely defensive intent</w:t>
      </w:r>
    </w:p>
    <w:p>
      <w:pPr>
        <w:pStyle w:val="ListBullet"/>
      </w:pPr>
      <w:r>
        <w:rPr>
          <w:color w:val="008000"/>
        </w:rPr>
        <w:t>• It contributed to the U.S. argument that the missiles posed an immediate threat to national security</w:t>
      </w:r>
    </w:p>
    <w:p>
      <w:r>
        <w:rPr>
          <w:sz w:val="20"/>
        </w:rPr>
        <w:t>Cognitive Level: 2</w:t>
      </w:r>
    </w:p>
    <w:p/>
    <w:p>
      <w:r>
        <w:rPr>
          <w:b/>
        </w:rPr>
        <w:t xml:space="preserve">3.1 </w:t>
      </w:r>
      <w:r>
        <w:t>(5 marks)</w:t>
      </w:r>
    </w:p>
    <w:p>
      <w:r>
        <w:rPr>
          <w:i/>
        </w:rPr>
        <w:t>Question: Analyze Mikoyan’s perspective in Source C. How does his role as a Soviet envoy influence his interpretation of the crisis and Castro’s reaction to the missile withdrawal?</w:t>
      </w:r>
    </w:p>
    <w:p>
      <w:r>
        <w:rPr>
          <w:b/>
        </w:rPr>
        <w:t>Expected Answer Points:</w:t>
      </w:r>
    </w:p>
    <w:p>
      <w:pPr>
        <w:pStyle w:val="ListBullet"/>
      </w:pPr>
      <w:r>
        <w:rPr>
          <w:color w:val="008000"/>
        </w:rPr>
        <w:t>• As a high-ranking Soviet official, Mikoyan had direct access to Khrushchev’s decisions and was tasked with managing the aftermath in Havana</w:t>
      </w:r>
    </w:p>
    <w:p>
      <w:pPr>
        <w:pStyle w:val="ListBullet"/>
      </w:pPr>
      <w:r>
        <w:rPr>
          <w:color w:val="008000"/>
        </w:rPr>
        <w:t>• His account reflects the Soviet view that the missiles were a temporary deterrent, not a permanent base, and that avoiding nuclear war was paramount</w:t>
      </w:r>
    </w:p>
    <w:p>
      <w:pPr>
        <w:pStyle w:val="ListBullet"/>
      </w:pPr>
      <w:r>
        <w:rPr>
          <w:color w:val="008000"/>
        </w:rPr>
        <w:t>• He acknowledges Castro’s anger and sense of betrayal, showing empathy but upholding the Kremlin’s priority of global stability over Cuban pride</w:t>
      </w:r>
    </w:p>
    <w:p>
      <w:pPr>
        <w:pStyle w:val="ListBullet"/>
      </w:pPr>
      <w:r>
        <w:rPr>
          <w:color w:val="008000"/>
        </w:rPr>
        <w:t>• His perspective may downplay Soviet strategic motives and emphasize defensive justification to maintain alliance cohesion</w:t>
      </w:r>
    </w:p>
    <w:p>
      <w:r>
        <w:rPr>
          <w:sz w:val="20"/>
        </w:rPr>
        <w:t>Cognitive Level: 3</w:t>
      </w:r>
    </w:p>
    <w:p/>
    <w:p>
      <w:r>
        <w:rPr>
          <w:b/>
        </w:rPr>
        <w:t xml:space="preserve">3.2 </w:t>
      </w:r>
      <w:r>
        <w:t>(6 marks)</w:t>
      </w:r>
    </w:p>
    <w:p>
      <w:r>
        <w:rPr>
          <w:i/>
        </w:rPr>
        <w:t>Question: Evaluate the reliability of Source A as a historical source for understanding Cuba’s motivations during the Cuban Missile Crisis. Consider its origin, purpose, and potential bias.</w:t>
      </w:r>
    </w:p>
    <w:p>
      <w:r>
        <w:rPr>
          <w:b/>
        </w:rPr>
        <w:t>Expected Answer Points:</w:t>
      </w:r>
    </w:p>
    <w:p>
      <w:pPr>
        <w:pStyle w:val="ListBullet"/>
      </w:pPr>
      <w:r>
        <w:rPr>
          <w:color w:val="008000"/>
        </w:rPr>
        <w:t>• Origin: Published by an official Cuban editorial board on October 25, 1962, during the height of the crisis</w:t>
      </w:r>
    </w:p>
    <w:p>
      <w:pPr>
        <w:pStyle w:val="ListBullet"/>
      </w:pPr>
      <w:r>
        <w:rPr>
          <w:color w:val="008000"/>
        </w:rPr>
        <w:t>• Purpose: To justify Cuba’s actions to domestic and international audiences, portraying the U.S. as the aggressor</w:t>
      </w:r>
    </w:p>
    <w:p>
      <w:pPr>
        <w:pStyle w:val="ListBullet"/>
      </w:pPr>
      <w:r>
        <w:rPr>
          <w:color w:val="008000"/>
        </w:rPr>
        <w:t>• Bias: Strongly anti-American and pro-revolutionary; frames U.S. actions as imperialist and hypocritical while depicting Cuba as a victim defending sovereignty</w:t>
      </w:r>
    </w:p>
    <w:p>
      <w:pPr>
        <w:pStyle w:val="ListBullet"/>
      </w:pPr>
      <w:r>
        <w:rPr>
          <w:color w:val="008000"/>
        </w:rPr>
        <w:t>• Limitations: Omits Soviet strategic interests and the secret nature of the missile deployment; presents a one-sided narrative</w:t>
      </w:r>
    </w:p>
    <w:p>
      <w:pPr>
        <w:pStyle w:val="ListBullet"/>
      </w:pPr>
      <w:r>
        <w:rPr>
          <w:color w:val="008000"/>
        </w:rPr>
        <w:t>• Value: Despite bias, it reveals how Cuba framed its position—emphasizing self-defense, sovereignty, and resistance to U.S. hegemony</w:t>
      </w:r>
    </w:p>
    <w:p>
      <w:r>
        <w:rPr>
          <w:sz w:val="20"/>
        </w:rPr>
        <w:t>Cognitive Level: 3</w:t>
      </w:r>
    </w:p>
    <w:p/>
    <w:p>
      <w:r>
        <w:rPr>
          <w:b/>
        </w:rPr>
        <w:t xml:space="preserve">4.1 </w:t>
      </w:r>
      <w:r>
        <w:t>(8 marks)</w:t>
      </w:r>
    </w:p>
    <w:p>
      <w:r>
        <w:rPr>
          <w:i/>
        </w:rPr>
        <w:t>Question: Using both Source A and Source C, compare how Cuba and the Soviet Union viewed the purpose and significance of the missiles in Cuba during the Missile Crisis. In your answer, highlight similarities and differences in their perspectives.</w:t>
      </w:r>
    </w:p>
    <w:p>
      <w:r>
        <w:rPr>
          <w:b/>
        </w:rPr>
        <w:t>Expected Answer Points:</w:t>
      </w:r>
    </w:p>
    <w:p>
      <w:pPr>
        <w:pStyle w:val="ListBullet"/>
      </w:pPr>
      <w:r>
        <w:rPr>
          <w:color w:val="008000"/>
        </w:rPr>
        <w:t>• Similarities: Both sources acknowledge that the missiles were intended as a deterrent against U.S. aggression (Source A cites U.S. missiles in Turkey; Source C explicitly states they were a 'counterweight to American aggression')</w:t>
      </w:r>
    </w:p>
    <w:p>
      <w:pPr>
        <w:pStyle w:val="ListBullet"/>
      </w:pPr>
      <w:r>
        <w:rPr>
          <w:color w:val="008000"/>
        </w:rPr>
        <w:t>• Similarities: Both recognize the missiles as a response to perceived U.S. hostility, including past invasions and economic pressure</w:t>
      </w:r>
    </w:p>
    <w:p>
      <w:pPr>
        <w:pStyle w:val="ListBullet"/>
      </w:pPr>
      <w:r>
        <w:rPr>
          <w:color w:val="008000"/>
        </w:rPr>
        <w:t>• Differences: Source A (Cuban perspective) emphasizes sovereignty and the right to self-defense as non-negotiable, framing the missiles as a matter of national dignity</w:t>
      </w:r>
    </w:p>
    <w:p>
      <w:pPr>
        <w:pStyle w:val="ListBullet"/>
      </w:pPr>
      <w:r>
        <w:rPr>
          <w:color w:val="008000"/>
        </w:rPr>
        <w:t>• Differences: Source C (Soviet perspective via Mikoyan) admits the missiles were never meant to stay and were withdrawn to prevent nuclear war, suggesting they were a temporary strategic tool</w:t>
      </w:r>
    </w:p>
    <w:p>
      <w:pPr>
        <w:pStyle w:val="ListBullet"/>
      </w:pPr>
      <w:r>
        <w:rPr>
          <w:color w:val="008000"/>
        </w:rPr>
        <w:t>• Differences: Castro (as reported by Mikoyan) felt betrayed and wanted to keep the missiles as a symbol of resistance, while the USSR prioritized de-escalation over Cuban prestige</w:t>
      </w:r>
    </w:p>
    <w:p>
      <w:pPr>
        <w:pStyle w:val="ListBullet"/>
      </w:pPr>
      <w:r>
        <w:rPr>
          <w:color w:val="008000"/>
        </w:rPr>
        <w:t>• Overall: While both saw the missiles as defensive, Cuba viewed them as a permanent safeguard of sovereignty, whereas the USSR saw them as a lever to be traded for security guarantees</w:t>
      </w:r>
    </w:p>
    <w:p>
      <w:r>
        <w:rPr>
          <w:sz w:val="20"/>
        </w:rPr>
        <w:t>Cognitive Level: 4</w:t>
      </w:r>
    </w:p>
    <w:p/>
    <w:p>
      <w:r>
        <w:t>____________________________________________________________</w:t>
      </w:r>
    </w:p>
    <w:p>
      <w:r>
        <w:rPr>
          <w:b/>
          <w:sz w:val="28"/>
        </w:rPr>
        <w:t>QUESTION 2: The Division of Germany (1945-1949) - ANSWERS</w:t>
      </w:r>
    </w:p>
    <w:p>
      <w:r>
        <w:rPr>
          <w:i/>
        </w:rPr>
        <w:t>[25 marks]</w:t>
      </w:r>
    </w:p>
    <w:p>
      <w:r>
        <w:rPr>
          <w:b/>
        </w:rPr>
        <w:t xml:space="preserve">1.1 </w:t>
      </w:r>
      <w:r>
        <w:t>(2 marks)</w:t>
      </w:r>
    </w:p>
    <w:p>
      <w:r>
        <w:rPr>
          <w:i/>
        </w:rPr>
        <w:t>Question: Identify two hardships faced by Berliners during the winter of 1946 as described in Source A.</w:t>
      </w:r>
    </w:p>
    <w:p>
      <w:r>
        <w:rPr>
          <w:b/>
        </w:rPr>
        <w:t>Expected Answer Points:</w:t>
      </w:r>
    </w:p>
    <w:p>
      <w:pPr>
        <w:pStyle w:val="ListBullet"/>
      </w:pPr>
      <w:r>
        <w:rPr>
          <w:color w:val="008000"/>
        </w:rPr>
        <w:t>• Coal rations were cut again.</w:t>
      </w:r>
    </w:p>
    <w:p>
      <w:pPr>
        <w:pStyle w:val="ListBullet"/>
      </w:pPr>
      <w:r>
        <w:rPr>
          <w:color w:val="008000"/>
        </w:rPr>
        <w:t>• Families melted snow for water and burned furniture scraps for heat.</w:t>
      </w:r>
    </w:p>
    <w:p>
      <w:pPr>
        <w:pStyle w:val="ListBullet"/>
      </w:pPr>
      <w:r>
        <w:rPr>
          <w:color w:val="008000"/>
        </w:rPr>
        <w:t>• Families shared stoves in shifts.</w:t>
      </w:r>
    </w:p>
    <w:p>
      <w:pPr>
        <w:pStyle w:val="ListBullet"/>
      </w:pPr>
      <w:r>
        <w:rPr>
          <w:color w:val="008000"/>
        </w:rPr>
        <w:t>• No trains, mail, or news from eastern sectors due to Soviet blockade.</w:t>
      </w:r>
    </w:p>
    <w:p>
      <w:pPr>
        <w:pStyle w:val="ListBullet"/>
      </w:pPr>
      <w:r>
        <w:rPr>
          <w:color w:val="008000"/>
        </w:rPr>
        <w:t>• Fear of a new western currency leading to division of Berlin.</w:t>
      </w:r>
    </w:p>
    <w:p>
      <w:r>
        <w:rPr>
          <w:sz w:val="20"/>
        </w:rPr>
        <w:t>Cognitive Level: 1</w:t>
      </w:r>
    </w:p>
    <w:p/>
    <w:p>
      <w:r>
        <w:rPr>
          <w:b/>
        </w:rPr>
        <w:t xml:space="preserve">1.2 </w:t>
      </w:r>
      <w:r>
        <w:t>(2 marks)</w:t>
      </w:r>
    </w:p>
    <w:p>
      <w:r>
        <w:rPr>
          <w:i/>
        </w:rPr>
        <w:t>Question: From Source B, identify two symbols used by the cartoonist to represent the Soviet Union and the Western Allies.</w:t>
      </w:r>
    </w:p>
    <w:p>
      <w:r>
        <w:rPr>
          <w:b/>
        </w:rPr>
        <w:t>Expected Answer Points:</w:t>
      </w:r>
    </w:p>
    <w:p>
      <w:pPr>
        <w:pStyle w:val="ListBullet"/>
      </w:pPr>
      <w:r>
        <w:rPr>
          <w:color w:val="008000"/>
        </w:rPr>
        <w:t>• The Soviet Union is represented by a bear wearing a military coat.</w:t>
      </w:r>
    </w:p>
    <w:p>
      <w:pPr>
        <w:pStyle w:val="ListBullet"/>
      </w:pPr>
      <w:r>
        <w:rPr>
          <w:color w:val="008000"/>
        </w:rPr>
        <w:t>• The Western Allies (USA, UK, France) are shown sitting at a table guarding their slices of the 'pie'.</w:t>
      </w:r>
    </w:p>
    <w:p>
      <w:pPr>
        <w:pStyle w:val="ListBullet"/>
      </w:pPr>
      <w:r>
        <w:rPr>
          <w:color w:val="008000"/>
        </w:rPr>
        <w:t>• The map of Germany is depicted as a pie divided into four unequal slices labeled by the occupying powers.</w:t>
      </w:r>
    </w:p>
    <w:p>
      <w:r>
        <w:rPr>
          <w:sz w:val="20"/>
        </w:rPr>
        <w:t>Cognitive Level: 1</w:t>
      </w:r>
    </w:p>
    <w:p/>
    <w:p>
      <w:r>
        <w:rPr>
          <w:b/>
        </w:rPr>
        <w:t xml:space="preserve">2.1 </w:t>
      </w:r>
      <w:r>
        <w:t>(3 marks)</w:t>
      </w:r>
    </w:p>
    <w:p>
      <w:r>
        <w:rPr>
          <w:i/>
        </w:rPr>
        <w:t>Question: Explain why Elisabeth Mann Borgese fears that Berlin is becoming 'a laboratory for the Cold War'.</w:t>
      </w:r>
    </w:p>
    <w:p>
      <w:r>
        <w:rPr>
          <w:b/>
        </w:rPr>
        <w:t>Expected Answer Points:</w:t>
      </w:r>
    </w:p>
    <w:p>
      <w:pPr>
        <w:pStyle w:val="ListBullet"/>
      </w:pPr>
      <w:r>
        <w:rPr>
          <w:color w:val="008000"/>
        </w:rPr>
        <w:t>• She observes growing division between East and West, especially with the Soviets sealing off eastern sectors.</w:t>
      </w:r>
    </w:p>
    <w:p>
      <w:pPr>
        <w:pStyle w:val="ListBullet"/>
      </w:pPr>
      <w:r>
        <w:rPr>
          <w:color w:val="008000"/>
        </w:rPr>
        <w:t>• She notes the introduction of a new currency in the west as a potential trigger for formal split.</w:t>
      </w:r>
    </w:p>
    <w:p>
      <w:pPr>
        <w:pStyle w:val="ListBullet"/>
      </w:pPr>
      <w:r>
        <w:rPr>
          <w:color w:val="008000"/>
        </w:rPr>
        <w:t>• She believes ordinary civilians will suffer from hunger and silence as superpowers use Berlin to test their opposing policies.</w:t>
      </w:r>
    </w:p>
    <w:p>
      <w:pPr>
        <w:pStyle w:val="ListBullet"/>
      </w:pPr>
      <w:r>
        <w:rPr>
          <w:color w:val="008000"/>
        </w:rPr>
        <w:t>• The city is becoming a site of ideological and economic confrontation without direct military conflict.</w:t>
      </w:r>
    </w:p>
    <w:p>
      <w:r>
        <w:rPr>
          <w:sz w:val="20"/>
        </w:rPr>
        <w:t>Cognitive Level: 2</w:t>
      </w:r>
    </w:p>
    <w:p/>
    <w:p>
      <w:r>
        <w:rPr>
          <w:b/>
        </w:rPr>
        <w:t xml:space="preserve">2.2 </w:t>
      </w:r>
      <w:r>
        <w:t>(4 marks)</w:t>
      </w:r>
    </w:p>
    <w:p>
      <w:r>
        <w:rPr>
          <w:i/>
        </w:rPr>
        <w:t>Question: Explain how the economic policies in the Soviet Zone differed from those in the Western zones according to Source C.</w:t>
      </w:r>
    </w:p>
    <w:p>
      <w:r>
        <w:rPr>
          <w:b/>
        </w:rPr>
        <w:t>Expected Answer Points:</w:t>
      </w:r>
    </w:p>
    <w:p>
      <w:pPr>
        <w:pStyle w:val="ListBullet"/>
      </w:pPr>
      <w:r>
        <w:rPr>
          <w:color w:val="008000"/>
        </w:rPr>
        <w:t>• The Soviet Zone extracted reparations beyond agreed quotas, dismantling factories and shipping them east without compensation.</w:t>
      </w:r>
    </w:p>
    <w:p>
      <w:pPr>
        <w:pStyle w:val="ListBullet"/>
      </w:pPr>
      <w:r>
        <w:rPr>
          <w:color w:val="008000"/>
        </w:rPr>
        <w:t>• Agricultural production remained low due to lack of fertilizer, fuel, and transport, worsened by food requisitions causing malnutrition.</w:t>
      </w:r>
    </w:p>
    <w:p>
      <w:pPr>
        <w:pStyle w:val="ListBullet"/>
      </w:pPr>
      <w:r>
        <w:rPr>
          <w:color w:val="008000"/>
        </w:rPr>
        <w:t>• In contrast, the Western zones showed signs of recovery due to Marshall Plan preparatory aid.</w:t>
      </w:r>
    </w:p>
    <w:p>
      <w:pPr>
        <w:pStyle w:val="ListBullet"/>
      </w:pPr>
      <w:r>
        <w:rPr>
          <w:color w:val="008000"/>
        </w:rPr>
        <w:t>• The divergence in economic recovery suggests the Soviet policy aimed to weaken resistance and enable political control.</w:t>
      </w:r>
    </w:p>
    <w:p>
      <w:r>
        <w:rPr>
          <w:sz w:val="20"/>
        </w:rPr>
        <w:t>Cognitive Level: 2</w:t>
      </w:r>
    </w:p>
    <w:p/>
    <w:p>
      <w:r>
        <w:rPr>
          <w:b/>
        </w:rPr>
        <w:t xml:space="preserve">3.1 </w:t>
      </w:r>
      <w:r>
        <w:t>(5 marks)</w:t>
      </w:r>
    </w:p>
    <w:p>
      <w:r>
        <w:rPr>
          <w:i/>
        </w:rPr>
        <w:t>Question: Analyze the cartoonist’s perspective in Source B. How might Karl Arnold’s viewpoint influence the portrayal of the Soviet Union and the Western Allies?</w:t>
      </w:r>
    </w:p>
    <w:p>
      <w:r>
        <w:rPr>
          <w:b/>
        </w:rPr>
        <w:t>Expected Answer Points:</w:t>
      </w:r>
    </w:p>
    <w:p>
      <w:pPr>
        <w:pStyle w:val="ListBullet"/>
      </w:pPr>
      <w:r>
        <w:rPr>
          <w:color w:val="008000"/>
        </w:rPr>
        <w:t>• As a German cartoonist (Karl Arnold), Arnold likely viewed the occupation from a German civilian perspective, emphasizing German suffering.</w:t>
      </w:r>
    </w:p>
    <w:p>
      <w:pPr>
        <w:pStyle w:val="ListBullet"/>
      </w:pPr>
      <w:r>
        <w:rPr>
          <w:color w:val="008000"/>
        </w:rPr>
        <w:t>• The portrayal of the Soviet bear as 'aggressively reaching' for Berlin suggests a critical view of Soviet expansionism.</w:t>
      </w:r>
    </w:p>
    <w:p>
      <w:pPr>
        <w:pStyle w:val="ListBullet"/>
      </w:pPr>
      <w:r>
        <w:rPr>
          <w:color w:val="008000"/>
        </w:rPr>
        <w:t>• The Western Allies are shown 'nervously guarding' their portions, implying they are reluctant but defensive, possibly reflecting Arnold’s hope for Western protection.</w:t>
      </w:r>
    </w:p>
    <w:p>
      <w:pPr>
        <w:pStyle w:val="ListBullet"/>
      </w:pPr>
      <w:r>
        <w:rPr>
          <w:color w:val="008000"/>
        </w:rPr>
        <w:t>• The small, ragged German figure with empty hands highlights civilian powerlessness, indicating sympathy for ordinary Germans.</w:t>
      </w:r>
    </w:p>
    <w:p>
      <w:pPr>
        <w:pStyle w:val="ListBullet"/>
      </w:pPr>
      <w:r>
        <w:rPr>
          <w:color w:val="008000"/>
        </w:rPr>
        <w:t>• The 'Deadlocked' Allied Control Council sign suggests blame on all powers for failing to cooperate, reflecting frustration with the occupation.</w:t>
      </w:r>
    </w:p>
    <w:p>
      <w:r>
        <w:rPr>
          <w:sz w:val="20"/>
        </w:rPr>
        <w:t>Cognitive Level: 3</w:t>
      </w:r>
    </w:p>
    <w:p/>
    <w:p>
      <w:r>
        <w:rPr>
          <w:b/>
        </w:rPr>
        <w:t xml:space="preserve">3.2 </w:t>
      </w:r>
      <w:r>
        <w:t>(6 marks)</w:t>
      </w:r>
    </w:p>
    <w:p>
      <w:r>
        <w:rPr>
          <w:i/>
        </w:rPr>
        <w:t>Question: Evaluate the reliability of Source C as evidence of Soviet intentions in post-war Germany. Consider its origin, purpose, and content.</w:t>
      </w:r>
    </w:p>
    <w:p>
      <w:r>
        <w:rPr>
          <w:b/>
        </w:rPr>
        <w:t>Expected Answer Points:</w:t>
      </w:r>
    </w:p>
    <w:p>
      <w:pPr>
        <w:pStyle w:val="ListBullet"/>
      </w:pPr>
      <w:r>
        <w:rPr>
          <w:color w:val="008000"/>
        </w:rPr>
        <w:t>• Origin: Produced by the U.S. Office of Military Government (OMGUS), so it reflects an American official perspective, likely biased against Soviet actions.</w:t>
      </w:r>
    </w:p>
    <w:p>
      <w:pPr>
        <w:pStyle w:val="ListBullet"/>
      </w:pPr>
      <w:r>
        <w:rPr>
          <w:color w:val="008000"/>
        </w:rPr>
        <w:t>• Purpose: To inform U.S. policymakers about economic conditions; may exaggerate Soviet wrongdoing to justify stronger Western policies or the Marshall Plan.</w:t>
      </w:r>
    </w:p>
    <w:p>
      <w:pPr>
        <w:pStyle w:val="ListBullet"/>
      </w:pPr>
      <w:r>
        <w:rPr>
          <w:color w:val="008000"/>
        </w:rPr>
        <w:t>• Content: Claims of 'economic strangulation' and deliberate weakening of resistance align with Cold War narratives but lack direct proof of Soviet intent.</w:t>
      </w:r>
    </w:p>
    <w:p>
      <w:pPr>
        <w:pStyle w:val="ListBullet"/>
      </w:pPr>
      <w:r>
        <w:rPr>
          <w:color w:val="008000"/>
        </w:rPr>
        <w:t>• Corroboration: Supported by other sources (e.g., Source A’s description of scarcity in the east) and historical facts about dismantling of factories.</w:t>
      </w:r>
    </w:p>
    <w:p>
      <w:pPr>
        <w:pStyle w:val="ListBullet"/>
      </w:pPr>
      <w:r>
        <w:rPr>
          <w:color w:val="008000"/>
        </w:rPr>
        <w:t>• Limitation: As a U.S. government report, it may omit Western shortcomings or frame Soviet actions in the worst possible light to support containment policy.</w:t>
      </w:r>
    </w:p>
    <w:p>
      <w:pPr>
        <w:pStyle w:val="ListBullet"/>
      </w:pPr>
      <w:r>
        <w:rPr>
          <w:color w:val="008000"/>
        </w:rPr>
        <w:t>• Overall: Useful for understanding U.S. perceptions and early Cold War interpretations, but must be cross-checked with other sources for balance.</w:t>
      </w:r>
    </w:p>
    <w:p>
      <w:r>
        <w:rPr>
          <w:sz w:val="20"/>
        </w:rPr>
        <w:t>Cognitive Level: 3</w:t>
      </w:r>
    </w:p>
    <w:p/>
    <w:p>
      <w:r>
        <w:rPr>
          <w:b/>
        </w:rPr>
        <w:t xml:space="preserve">4.1 </w:t>
      </w:r>
      <w:r>
        <w:t>(8 marks)</w:t>
      </w:r>
    </w:p>
    <w:p>
      <w:r>
        <w:rPr>
          <w:i/>
        </w:rPr>
        <w:t>Question: Using Sources A, B, and C, explain how the division of Germany was becoming increasingly inevitable by 1948–1949. Refer to economic, political, and social evidence from the sources.</w:t>
      </w:r>
    </w:p>
    <w:p>
      <w:r>
        <w:rPr>
          <w:b/>
        </w:rPr>
        <w:t>Expected Answer Points:</w:t>
      </w:r>
    </w:p>
    <w:p>
      <w:pPr>
        <w:pStyle w:val="ListBullet"/>
      </w:pPr>
      <w:r>
        <w:rPr>
          <w:color w:val="008000"/>
        </w:rPr>
        <w:t>• Economic: Source C shows the Soviet Zone extracting excessive reparations and suffering from low production, while Western zones recovered with Marshall Plan aid—creating two divergent economies.</w:t>
      </w:r>
    </w:p>
    <w:p>
      <w:pPr>
        <w:pStyle w:val="ListBullet"/>
      </w:pPr>
      <w:r>
        <w:rPr>
          <w:color w:val="008000"/>
        </w:rPr>
        <w:t>• Political: Source B depicts the Allied Control Council as 'deadlocked', showing inability to cooperate; the Soviet bear reaching for Berlin symbolizes unilateral action, foreshadowing the blockade.</w:t>
      </w:r>
    </w:p>
    <w:p>
      <w:pPr>
        <w:pStyle w:val="ListBullet"/>
      </w:pPr>
      <w:r>
        <w:rPr>
          <w:color w:val="008000"/>
        </w:rPr>
        <w:t>• Social: Source A describes civilian isolation—no mail or news from eastern sectors, fear of currency split, and shared hardship—indicating growing separation of lived experience.</w:t>
      </w:r>
    </w:p>
    <w:p>
      <w:pPr>
        <w:pStyle w:val="ListBullet"/>
      </w:pPr>
      <w:r>
        <w:rPr>
          <w:color w:val="008000"/>
        </w:rPr>
        <w:t>• Together, the sources show that by 1948, economic divergence, political paralysis, and social fragmentation made a unified Germany untenable, paving the way for the formal split into FRG and GDR in 1949.</w:t>
      </w:r>
    </w:p>
    <w:p>
      <w:r>
        <w:rPr>
          <w:sz w:val="20"/>
        </w:rPr>
        <w:t>Cognitive Level: 4</w:t>
      </w:r>
    </w:p>
    <w:p/>
    <w:p>
      <w:r>
        <w:t>____________________________________________________________</w:t>
      </w:r>
    </w:p>
    <w:p>
      <w:r>
        <w:rPr>
          <w:b/>
          <w:sz w:val="28"/>
        </w:rPr>
        <w:t>QUESTION 3: METHODOLOGY - MARKING GUIDE</w:t>
      </w:r>
    </w:p>
    <w:p>
      <w:r>
        <w:rPr>
          <w:i/>
        </w:rPr>
        <w:t>[25 marks]</w:t>
      </w:r>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Lesson Steps</w:t>
            </w:r>
          </w:p>
        </w:tc>
        <w:tc>
          <w:tcPr>
            <w:tcW w:type="dxa" w:w="2160"/>
          </w:tcPr>
          <w:p>
            <w:r>
              <w:t>Clear, detailed, and logically sequenced steps (teacher and learner actions) with appropriate timing, transitions, and scaffolding that support deep historical understanding</w:t>
            </w:r>
          </w:p>
        </w:tc>
        <w:tc>
          <w:tcPr>
            <w:tcW w:type="dxa" w:w="2160"/>
          </w:tcPr>
          <w:p>
            <w:r>
              <w:t>Adequate steps with some detail and logical flow, but minor gaps in sequencing, timing, or learner engagement</w:t>
            </w:r>
          </w:p>
        </w:tc>
        <w:tc>
          <w:tcPr>
            <w:tcW w:type="dxa" w:w="2160"/>
          </w:tcPr>
          <w:p>
            <w:r>
              <w:t>Minimal or unclear steps; lacks coherence, teacher/learner differentiation, or logical progression</w:t>
            </w:r>
          </w:p>
        </w:tc>
      </w:tr>
      <w:tr>
        <w:tc>
          <w:tcPr>
            <w:tcW w:type="dxa" w:w="2160"/>
          </w:tcPr>
          <w:p>
            <w:r>
              <w:t>Resources</w:t>
            </w:r>
          </w:p>
        </w:tc>
        <w:tc>
          <w:tcPr>
            <w:tcW w:type="dxa" w:w="2160"/>
          </w:tcPr>
          <w:p>
            <w:r>
              <w:t>Varied, historically appropriate, and pedagogically sound resources identified (e.g., primary sources like Truman’s speech, Stalin’s response, aerial photos, cargo manifests, oral histories, maps, short video clips); resources are clearly linked to learning objectives and promote critical engagement</w:t>
            </w:r>
          </w:p>
        </w:tc>
        <w:tc>
          <w:tcPr>
            <w:tcW w:type="dxa" w:w="2160"/>
          </w:tcPr>
          <w:p>
            <w:r>
              <w:t>Some relevant resources mentioned, but limited variety or unclear connection to lesson aims; may rely heavily on textbooks or secondary summaries</w:t>
            </w:r>
          </w:p>
        </w:tc>
        <w:tc>
          <w:tcPr>
            <w:tcW w:type="dxa" w:w="2160"/>
          </w:tcPr>
          <w:p>
            <w:r>
              <w:t>Limited or inappropriate resource identification; over-reliance on lecture-style delivery with minimal use of authentic or diverse materials</w:t>
            </w:r>
          </w:p>
        </w:tc>
      </w:tr>
      <w:tr>
        <w:tc>
          <w:tcPr>
            <w:tcW w:type="dxa" w:w="2160"/>
          </w:tcPr>
          <w:p>
            <w:r>
              <w:t>Aim &amp; Outcomes</w:t>
            </w:r>
          </w:p>
        </w:tc>
        <w:tc>
          <w:tcPr>
            <w:tcW w:type="dxa" w:w="2160"/>
          </w:tcPr>
          <w:p>
            <w:r>
              <w:t>Aim is clear, focused, and historically significant; learning outcomes are specific, measurable, aligned with CAPS (or equivalent curriculum), and explicitly tied to historical understanding (not just recall)</w:t>
            </w:r>
          </w:p>
        </w:tc>
        <w:tc>
          <w:tcPr>
            <w:tcW w:type="dxa" w:w="2160"/>
          </w:tcPr>
          <w:p>
            <w:r>
              <w:t>Aim and outcomes are present but somewhat vague, broad, or overly focused on content coverage rather than historical thinking</w:t>
            </w:r>
          </w:p>
        </w:tc>
        <w:tc>
          <w:tcPr>
            <w:tcW w:type="dxa" w:w="2160"/>
          </w:tcPr>
          <w:p>
            <w:r>
              <w:t>Aim is missing, unclear, or not historically grounded; outcomes are absent, unmeasurable, or purely factual (e.g., 'students will know the dates of the Airlift')</w:t>
            </w:r>
          </w:p>
        </w:tc>
      </w:tr>
      <w:tr>
        <w:tc>
          <w:tcPr>
            <w:tcW w:type="dxa" w:w="2160"/>
          </w:tcPr>
          <w:p>
            <w:r>
              <w:t>Historical Skills</w:t>
            </w:r>
          </w:p>
        </w:tc>
        <w:tc>
          <w:tcPr>
            <w:tcW w:type="dxa" w:w="2160"/>
          </w:tcPr>
          <w:p>
            <w:r>
              <w:t>Explicit and effective integration of multiple historical thinking skills (e.g., source analysis, contextualization, causation, perspective-taking, evidence-based argumentation) through purposeful activities; skills are developed progressively and linked to the Airlift’s significance</w:t>
            </w:r>
          </w:p>
        </w:tc>
        <w:tc>
          <w:tcPr>
            <w:tcW w:type="dxa" w:w="2160"/>
          </w:tcPr>
          <w:p>
            <w:r>
              <w:t>Some historical skills mentioned or implied, but integration is superficial, inconsistent, or not clearly demonstrated in activities</w:t>
            </w:r>
          </w:p>
        </w:tc>
        <w:tc>
          <w:tcPr>
            <w:tcW w:type="dxa" w:w="2160"/>
          </w:tcPr>
          <w:p>
            <w:r>
              <w:t>Limited or no evidence of historical skill development; lesson focuses on narration or memorization without analytical engagement</w:t>
            </w:r>
          </w:p>
        </w:tc>
      </w:tr>
      <w:tr>
        <w:tc>
          <w:tcPr>
            <w:tcW w:type="dxa" w:w="2160"/>
          </w:tcPr>
          <w:p>
            <w:r>
              <w:t>Classroom Management</w:t>
            </w:r>
          </w:p>
        </w:tc>
        <w:tc>
          <w:tcPr>
            <w:tcW w:type="dxa" w:w="2160"/>
          </w:tcPr>
          <w:p>
            <w:r>
              <w:t>Detailed, proactive strategies for managing diverse learners (e.g., differentiation for varying abilities, language support, engagement techniques for disaffected students, time management, transitions, use of groupings, behaviour expectations); strategies are inclusive, realistic, and tailored to the lesson’s demands</w:t>
            </w:r>
          </w:p>
        </w:tc>
        <w:tc>
          <w:tcPr>
            <w:tcW w:type="dxa" w:w="2160"/>
          </w:tcPr>
          <w:p>
            <w:r>
              <w:t>Basic classroom management strategies mentioned (e.g., clear instructions, time limits, group work), but lack specificity, differentiation, or anticipation of challenges</w:t>
            </w:r>
          </w:p>
        </w:tc>
        <w:tc>
          <w:tcPr>
            <w:tcW w:type="dxa" w:w="2160"/>
          </w:tcPr>
          <w:p>
            <w:r>
              <w:t>Minimal consideration of classroom management; assumes uniform student behaviour or ignores potential disruptions, diversity, or engagement issues</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 - MARKING MATRIX</w:t>
      </w:r>
    </w:p>
    <w:p>
      <w:r>
        <w:rPr>
          <w:i/>
        </w:rPr>
        <w:t>[50 marks]</w:t>
      </w:r>
    </w:p>
    <w:p>
      <w:r>
        <w:rPr>
          <w:b/>
        </w:rPr>
        <w:t xml:space="preserve">Question: </w:t>
      </w:r>
      <w:r>
        <w:t>Evaluate the extent to which media coverage of the Vietnam War fundamentally altered the relationship between the American public and the government, with specific reference to the erosion of public trust and the long-term implications for democratic accountability.</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Content &amp; Knowledge</w:t>
              <w:br/>
              <w:t>(15 marks)</w:t>
            </w:r>
          </w:p>
        </w:tc>
        <w:tc>
          <w:tcPr>
            <w:tcW w:type="dxa" w:w="1728"/>
          </w:tcPr>
          <w:p>
            <w:r>
              <w:t>[13-15]</w:t>
              <w:br/>
              <w:t>Comprehensive knowledge of key media events (e.g., Tet Offensive coverage, My Lai reporting, Pentagon Papers), accurate use of historical terminology, and nuanced understanding of how media influenced public perception of government honesty and war legitimacy.</w:t>
            </w:r>
          </w:p>
        </w:tc>
        <w:tc>
          <w:tcPr>
            <w:tcW w:type="dxa" w:w="1728"/>
          </w:tcPr>
          <w:p>
            <w:r>
              <w:t>[10-12]</w:t>
              <w:br/>
              <w:t>Solid grasp of major developments with minor omissions or generalizations; demonstrates clear understanding of media’s role in shaping public sentiment.</w:t>
            </w:r>
          </w:p>
        </w:tc>
        <w:tc>
          <w:tcPr>
            <w:tcW w:type="dxa" w:w="1728"/>
          </w:tcPr>
          <w:p>
            <w:r>
              <w:t>[7-9]</w:t>
              <w:br/>
              <w:t>Basic knowledge of media coverage and public opinion trends, but with factual inaccuracies, limited depth, or over-reliance on broad generalizations.</w:t>
            </w:r>
          </w:p>
        </w:tc>
        <w:tc>
          <w:tcPr>
            <w:tcW w:type="dxa" w:w="1728"/>
          </w:tcPr>
          <w:p>
            <w:r>
              <w:t>[0-6]</w:t>
              <w:br/>
              <w:t>Limited or fragmented knowledge; significant gaps in understanding of media events, government actions, or public reaction during the Vietnam War era.</w:t>
            </w:r>
          </w:p>
        </w:tc>
      </w:tr>
      <w:tr>
        <w:tc>
          <w:tcPr>
            <w:tcW w:type="dxa" w:w="1728"/>
          </w:tcPr>
          <w:p>
            <w:r>
              <w:t>Analysis &amp; Argumentation</w:t>
              <w:br/>
              <w:t>(15 marks)</w:t>
            </w:r>
          </w:p>
        </w:tc>
        <w:tc>
          <w:tcPr>
            <w:tcW w:type="dxa" w:w="1728"/>
          </w:tcPr>
          <w:p>
            <w:r>
              <w:t>[13-15]</w:t>
              <w:br/>
              <w:t>Sophisticated analysis with a clear, nuanced thesis that evaluates the *extent* of media’s impact on public-government relations; considers multiple perspectives (e.g., media as catalyst vs. reflector), addresses counterarguments, and draws reasoned conclusions about long-term democratic implications.</w:t>
            </w:r>
          </w:p>
        </w:tc>
        <w:tc>
          <w:tcPr>
            <w:tcW w:type="dxa" w:w="1728"/>
          </w:tcPr>
          <w:p>
            <w:r>
              <w:t>[10-12]</w:t>
              <w:br/>
              <w:t>Clear thesis and logical argumentation; good analysis with some evaluation of causality and significance, though may lack full nuance or depth in assessing long-term consequences.</w:t>
            </w:r>
          </w:p>
        </w:tc>
        <w:tc>
          <w:tcPr>
            <w:tcW w:type="dxa" w:w="1728"/>
          </w:tcPr>
          <w:p>
            <w:r>
              <w:t>[7-9]</w:t>
              <w:br/>
              <w:t>Some attempt at argumentation, but analysis is descriptive or superficial; tends to narrate events rather than evaluate media’s transformative role in trust and accountability.</w:t>
            </w:r>
          </w:p>
        </w:tc>
        <w:tc>
          <w:tcPr>
            <w:tcW w:type="dxa" w:w="1728"/>
          </w:tcPr>
          <w:p>
            <w:r>
              <w:t>[0-6]</w:t>
              <w:br/>
              <w:t>Lacks a clear argument or thesis; response is predominantly descriptive, with little to no evaluation of media’s role in altering public-government dynamics.</w:t>
            </w:r>
          </w:p>
        </w:tc>
      </w:tr>
      <w:tr>
        <w:tc>
          <w:tcPr>
            <w:tcW w:type="dxa" w:w="1728"/>
          </w:tcPr>
          <w:p>
            <w:r>
              <w:t>Use of Evidence</w:t>
              <w:br/>
              <w:t>(10 marks)</w:t>
            </w:r>
          </w:p>
        </w:tc>
        <w:tc>
          <w:tcPr>
            <w:tcW w:type="dxa" w:w="1728"/>
          </w:tcPr>
          <w:p>
            <w:r>
              <w:t>[9-10]</w:t>
              <w:br/>
              <w:t>Consistently uses specific, relevant evidence (e.g., televised battle footage, Cronkite’s editorial, Pentagon Papers excerpts, polling data, presidential speeches) to substantiate claims; evidence is well-integrated and critically examined.</w:t>
            </w:r>
          </w:p>
        </w:tc>
        <w:tc>
          <w:tcPr>
            <w:tcW w:type="dxa" w:w="1728"/>
          </w:tcPr>
          <w:p>
            <w:r>
              <w:t>[7-8]</w:t>
              <w:br/>
              <w:t>Good use of relevant evidence with occasional gaps; most points are supported, but some assertions lack specific examples or depth.</w:t>
            </w:r>
          </w:p>
        </w:tc>
        <w:tc>
          <w:tcPr>
            <w:tcW w:type="dxa" w:w="1728"/>
          </w:tcPr>
          <w:p>
            <w:r>
              <w:t>[5-6]</w:t>
              <w:br/>
              <w:t>Limited evidence; relies on generalizations or a few repeated examples; minimal use of primary sources or data.</w:t>
            </w:r>
          </w:p>
        </w:tc>
        <w:tc>
          <w:tcPr>
            <w:tcW w:type="dxa" w:w="1728"/>
          </w:tcPr>
          <w:p>
            <w:r>
              <w:t>[0-4]</w:t>
              <w:br/>
              <w:t>Little to no supporting evidence; assertions are unsupported or based on assumption rather than historical fact.</w:t>
            </w:r>
          </w:p>
        </w:tc>
      </w:tr>
      <w:tr>
        <w:tc>
          <w:tcPr>
            <w:tcW w:type="dxa" w:w="1728"/>
          </w:tcPr>
          <w:p>
            <w:r>
              <w:t>Structure &amp; Coherence</w:t>
              <w:br/>
              <w:t>(5 marks)</w:t>
            </w:r>
          </w:p>
        </w:tc>
        <w:tc>
          <w:tcPr>
            <w:tcW w:type="dxa" w:w="1728"/>
          </w:tcPr>
          <w:p>
            <w:r>
              <w:t>[5]</w:t>
              <w:br/>
              <w:t>Clear introduction with contextualization and thesis; logically organized body paragraphs (e.g., thematic or chronological); strong conclusion that synthesizes argument and addresses significance.</w:t>
            </w:r>
          </w:p>
        </w:tc>
        <w:tc>
          <w:tcPr>
            <w:tcW w:type="dxa" w:w="1728"/>
          </w:tcPr>
          <w:p>
            <w:r>
              <w:t>[4]</w:t>
              <w:br/>
              <w:t>Generally well-structured with clear progression of ideas; minor lapses in flow or transitions.</w:t>
            </w:r>
          </w:p>
        </w:tc>
        <w:tc>
          <w:tcPr>
            <w:tcW w:type="dxa" w:w="1728"/>
          </w:tcPr>
          <w:p>
            <w:r>
              <w:t>[3]</w:t>
              <w:br/>
              <w:t>Noticeable issues with organization; paragraphs may lack focus or logical sequence; conclusion may be weak or absent.</w:t>
            </w:r>
          </w:p>
        </w:tc>
        <w:tc>
          <w:tcPr>
            <w:tcW w:type="dxa" w:w="1728"/>
          </w:tcPr>
          <w:p>
            <w:r>
              <w:t>[0-2]</w:t>
              <w:br/>
              <w:t>Disorganized or incoherent; lacks clear paragraphing, logical development, or sense of direction.</w:t>
            </w:r>
          </w:p>
        </w:tc>
      </w:tr>
      <w:tr>
        <w:tc>
          <w:tcPr>
            <w:tcW w:type="dxa" w:w="1728"/>
          </w:tcPr>
          <w:p>
            <w:r>
              <w:t>Language &amp; Expression</w:t>
              <w:br/>
              <w:t>(5 marks)</w:t>
            </w:r>
          </w:p>
        </w:tc>
        <w:tc>
          <w:tcPr>
            <w:tcW w:type="dxa" w:w="1728"/>
          </w:tcPr>
          <w:p>
            <w:r>
              <w:t>[5]</w:t>
              <w:br/>
              <w:t>Clear, precise, and academic language; appropriate use of historical terminology (e.g., 'credibility gap', 'living-room war', 'agenda-setting'); fluent and sophisticated expression.</w:t>
            </w:r>
          </w:p>
        </w:tc>
        <w:tc>
          <w:tcPr>
            <w:tcW w:type="dxa" w:w="1728"/>
          </w:tcPr>
          <w:p>
            <w:r>
              <w:t>[4]</w:t>
              <w:br/>
              <w:t>Generally clear and appropriate language; occasional informality or minor imprecisions, but meaning is never obscured.</w:t>
            </w:r>
          </w:p>
        </w:tc>
        <w:tc>
          <w:tcPr>
            <w:tcW w:type="dxa" w:w="1728"/>
          </w:tcPr>
          <w:p>
            <w:r>
              <w:t>[3]</w:t>
              <w:br/>
              <w:t>Noticeable language issues (e.g., awkward phrasing, colloquialisms, inconsistent tone); meaning is usually clear but expression hinders effectiveness.</w:t>
            </w:r>
          </w:p>
        </w:tc>
        <w:tc>
          <w:tcPr>
            <w:tcW w:type="dxa" w:w="1728"/>
          </w:tcPr>
          <w:p>
            <w:r>
              <w:t>[0-2]</w:t>
              <w:br/>
              <w:t>Significant problems with grammar, syntax, or vocabulary; impedes communication and undermines academic credibility.</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Content &amp; Knowledge (max 15)</w:t>
            </w:r>
          </w:p>
        </w:tc>
        <w:tc>
          <w:tcPr>
            <w:tcW w:type="dxa" w:w="4320"/>
          </w:tcPr>
          <w:p>
            <w:r>
              <w:t>_____ / 15</w:t>
            </w:r>
          </w:p>
        </w:tc>
      </w:tr>
      <w:tr>
        <w:tc>
          <w:tcPr>
            <w:tcW w:type="dxa" w:w="4320"/>
          </w:tcPr>
          <w:p>
            <w:r>
              <w:t>Analysis &amp; Argumentation (max 15)</w:t>
            </w:r>
          </w:p>
        </w:tc>
        <w:tc>
          <w:tcPr>
            <w:tcW w:type="dxa" w:w="4320"/>
          </w:tcPr>
          <w:p>
            <w:r>
              <w:t>_____ / 15</w:t>
            </w:r>
          </w:p>
        </w:tc>
      </w:tr>
      <w:tr>
        <w:tc>
          <w:tcPr>
            <w:tcW w:type="dxa" w:w="4320"/>
          </w:tcPr>
          <w:p>
            <w:r>
              <w:t>Use of Evidence (max 10)</w:t>
            </w:r>
          </w:p>
        </w:tc>
        <w:tc>
          <w:tcPr>
            <w:tcW w:type="dxa" w:w="4320"/>
          </w:tcPr>
          <w:p>
            <w:r>
              <w:t>_____ / 10</w:t>
            </w:r>
          </w:p>
        </w:tc>
      </w:tr>
      <w:tr>
        <w:tc>
          <w:tcPr>
            <w:tcW w:type="dxa" w:w="4320"/>
          </w:tcPr>
          <w:p>
            <w:r>
              <w:t>Structure &amp; Coherence (max 5)</w:t>
            </w:r>
          </w:p>
        </w:tc>
        <w:tc>
          <w:tcPr>
            <w:tcW w:type="dxa" w:w="4320"/>
          </w:tcPr>
          <w:p>
            <w:r>
              <w:t>_____ / 5</w:t>
            </w:r>
          </w:p>
        </w:tc>
      </w:tr>
      <w:tr>
        <w:tc>
          <w:tcPr>
            <w:tcW w:type="dxa" w:w="4320"/>
          </w:tcPr>
          <w:p>
            <w:r>
              <w:t>Language &amp; Expression (max 5)</w:t>
            </w:r>
          </w:p>
        </w:tc>
        <w:tc>
          <w:tcPr>
            <w:tcW w:type="dxa" w:w="4320"/>
          </w:tcPr>
          <w:p>
            <w:r>
              <w:t>_____ / 5</w:t>
            </w:r>
          </w:p>
        </w:tc>
      </w:tr>
      <w:tr>
        <w:tc>
          <w:tcPr>
            <w:tcW w:type="dxa" w:w="4320"/>
          </w:tcPr>
          <w:p>
            <w:r>
              <w:rPr>
                <w:b/>
              </w:rPr>
              <w:t>TOTAL</w:t>
            </w:r>
          </w:p>
        </w:tc>
        <w:tc>
          <w:tcPr>
            <w:tcW w:type="dxa" w:w="4320"/>
          </w:tcPr>
          <w:p>
            <w:r>
              <w:rPr>
                <w:b/>
              </w:rPr>
              <w:t>_____ / 50</w:t>
            </w:r>
          </w:p>
        </w:tc>
      </w:tr>
    </w:tbl>
    <w:p/>
    <w:p>
      <w:r>
        <w:t>____________________________________________________________</w:t>
      </w:r>
    </w:p>
    <w:p>
      <w:pPr>
        <w:jc w:val="center"/>
      </w:pPr>
      <w:r>
        <w:rPr>
          <w:b/>
        </w:rPr>
        <w:t>TOTAL EXAM MARKS: 125</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