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p>
      <w:pPr>
        <w:jc w:val="center"/>
      </w:pPr>
      <w:r>
        <w:rPr>
          <w:b/>
          <w:sz w:val="24"/>
        </w:rPr>
        <w:t>(2nd Opportunity)</w:t>
      </w:r>
    </w:p>
    <w:tbl>
      <w:tblPr>
        <w:tblW w:type="auto" w:w="0"/>
        <w:jc w:val="center"/>
        <w:tblLook w:firstColumn="1" w:firstRow="1" w:lastColumn="0" w:lastRow="0" w:noHBand="0" w:noVBand="1" w:val="04A0"/>
      </w:tblPr>
      <w:tblGrid>
        <w:gridCol w:w="4320"/>
        <w:gridCol w:w="4320"/>
      </w:tblGrid>
      <w:tr>
        <w:tc>
          <w:tcPr>
            <w:tcW w:type="dxa" w:w="4320"/>
          </w:tcPr>
          <w:p>
            <w:r>
              <w:t>Duration:</w:t>
            </w:r>
          </w:p>
        </w:tc>
        <w:tc>
          <w:tcPr>
            <w:tcW w:type="dxa" w:w="4320"/>
          </w:tcPr>
          <w:p>
            <w:r>
              <w:t>3 hours</w:t>
            </w:r>
          </w:p>
        </w:tc>
      </w:tr>
      <w:tr>
        <w:tc>
          <w:tcPr>
            <w:tcW w:type="dxa" w:w="4320"/>
          </w:tcPr>
          <w:p>
            <w:r>
              <w:t>Total Marks:</w:t>
            </w:r>
          </w:p>
        </w:tc>
        <w:tc>
          <w:tcPr>
            <w:tcW w:type="dxa" w:w="4320"/>
          </w:tcPr>
          <w:p>
            <w:r>
              <w:t>125</w:t>
            </w:r>
          </w:p>
        </w:tc>
      </w:tr>
      <w:tr>
        <w:tc>
          <w:tcPr>
            <w:tcW w:type="dxa" w:w="4320"/>
          </w:tcPr>
          <w:p>
            <w:r>
              <w:t>Date:</w:t>
            </w:r>
          </w:p>
        </w:tc>
        <w:tc>
          <w:tcPr>
            <w:tcW w:type="dxa" w:w="4320"/>
          </w:tcPr>
          <w:p>
            <w:r>
              <w:t>August 2026</w:t>
            </w:r>
          </w:p>
        </w:tc>
      </w:tr>
      <w:tr>
        <w:tc>
          <w:tcPr>
            <w:tcW w:type="dxa" w:w="4320"/>
          </w:tcPr>
          <w:p>
            <w:r>
              <w:t>Instructions:</w:t>
            </w:r>
          </w:p>
        </w:tc>
        <w:tc>
          <w:tcPr>
            <w:tcW w:type="dxa" w:w="4320"/>
          </w:tcPr>
          <w:p>
            <w:r>
              <w:t>Answer ALL questions</w:t>
            </w:r>
          </w:p>
        </w:tc>
      </w:tr>
    </w:tbl>
    <w:p/>
    <w:p>
      <w:r>
        <w:rPr>
          <w:b/>
          <w:sz w:val="28"/>
        </w:rPr>
        <w:t>QUESTION 1: The Cuban Missile Crisis (1962)</w:t>
      </w:r>
    </w:p>
    <w:p>
      <w:r>
        <w:rPr>
          <w:i/>
        </w:rPr>
        <w:t>[25 marks]</w:t>
      </w:r>
    </w:p>
    <w:p>
      <w:r>
        <w:rPr>
          <w:b/>
        </w:rPr>
        <w:t xml:space="preserve">Source A: </w:t>
      </w:r>
      <w:r>
        <w:t>Newspaper Editorial - The Peril of Nuclear Brinkmanship</w:t>
      </w:r>
    </w:p>
    <w:p>
      <w:r>
        <w:t>Author/Origin: Walter Lippmann, October 26, 1962</w:t>
      </w:r>
    </w:p>
    <w:p>
      <w:r>
        <w:rPr>
          <w:i/>
        </w:rPr>
        <w:t>The current crisis in the Caribbean is not merely a contest between the United States and the Soviet Union over missiles in Cuba. It is a test of whether two great powers, armed with thermonuclear weapons, can conduct their rivalry without triggering mutual annihilation. The Soviet emplacement of offensive missiles in Cuba is a grave provocation, but the American response—particularly the naval quarantine—must be calibrated to avoid leaving Khrushchev no honorable retreat. History will not forgive leaders who, in seeking to avoid appearing weak, precipitate a war that neither side can win. The danger lies not in the missiles themselves, but in the logic of escalation that now grips both Washington and Moscow. We must seek a solution that removes the missiles without destroying the possibility of peaceful coexistence.</w:t>
      </w:r>
    </w:p>
    <w:p>
      <w:r>
        <w:rPr>
          <w:sz w:val="20"/>
        </w:rPr>
        <w:t>Context: Walter Lippmann, one of America’s most influential political commentators, wrote this editorial during the height of the Cuban Missile Crisis. Known for coining the term 'Cold War,' Lippmann had long advocated for restraint and negotiation in U.S.-Soviet relations. His piece reflected growing concern among establishment figures that the Kennedy administration’s hardline stance risked nuclear war. Lippmann privately advised Kennedy to offer a public pledge not to invade Cuba in exchange for Soviet missile withdrawal—a suggestion that later became part of the secret agreement ending the crisis.</w:t>
      </w:r>
    </w:p>
    <w:p/>
    <w:p>
      <w:r>
        <w:rPr>
          <w:b/>
        </w:rPr>
        <w:t xml:space="preserve">Source B: </w:t>
      </w:r>
      <w:r>
        <w:t>Political Cartoon - The Game of Chicken</w:t>
      </w:r>
    </w:p>
    <w:p>
      <w:r>
        <w:t>Author/Origin: Herbert Block (Herblock), October 28, 1962</w:t>
      </w:r>
    </w:p>
    <w:p>
      <w:r>
        <w:rPr>
          <w:i/>
        </w:rPr>
        <w:t>The cartoon depicts two cars speeding toward each other on a collision course, labeled 'USA' and 'USSR'. Both drivers are grim-faced, gripping the steering wheels tightly. In the back seat of the American car sits a small figure labeled 'World Peace', eyes closed and bracing for impact. The Soviet car has a missile protruding from its trunk. Above the scene, a dark storm cloud bears the words 'Nuclear War'. The cartoon uses the metaphor of the dangerous teenage game of 'chicken' to illustrate the mutual risk of nuclear annihilation, suggesting neither side can afford to back down without losing face, yet neither can afford to collide.</w:t>
      </w:r>
    </w:p>
    <w:p>
      <w:r>
        <w:rPr>
          <w:sz w:val="20"/>
        </w:rPr>
        <w:t>Context: Published on October 28, 1962—the day Khrushchev announced the withdrawal of Soviet missiles from Cuba—this cartoon by Herblock, the Pulitzer Prize-winning editorial cartoonist for The Washington Post, captures the terrifying brinkmanship of the crisis. Herblock was known for his sharp critiques of both Soviet aggression and American militarism. This image reflects the widespread public fear that the superpowers had pushed the world to the edge of nuclear war through rigid adherence to prestige and deterrence. The inclusion of 'World Peace' as a helpless passenger underscores the cartoon’s message: ordinary civilians bore the risk of decisions made by distant leaders.</w:t>
      </w:r>
    </w:p>
    <w:p/>
    <w:p>
      <w:r>
        <w:rPr>
          <w:b/>
        </w:rPr>
        <w:t xml:space="preserve">Source C: </w:t>
      </w:r>
      <w:r>
        <w:t>Memoir Excerpt - Reflections on the Cuban Missile Crisis</w:t>
      </w:r>
    </w:p>
    <w:p>
      <w:r>
        <w:t>Author/Origin: Anastas Mikoyan, 1975 (published in memoirs)</w:t>
      </w:r>
    </w:p>
    <w:p>
      <w:r>
        <w:rPr>
          <w:i/>
        </w:rPr>
        <w:t>When I arrived in Havana on November 2, 1962, my mission was not only to supervise the dismantling of the missile bases but also to reassure Fidel Castro that the Soviet Union had not abandoned him. Castro was furious—he felt betrayed, as if the Soviets had made a deal with the Americans over his head without consulting him. I listened to his anger for hours. He argued that Cuba had sacrificed its sovereignty and economic stability for the socialist cause, only to be treated as a bargaining chip. I explained that Khrushchev’s decision, however painful, was necessary to prevent nuclear war. Castro remained bitter, but he understood the reality: the Soviets could not risk global annihilation to defend a single island, no matter how just the cause. The missiles had to go, but the alliance must endure.</w:t>
      </w:r>
    </w:p>
    <w:p>
      <w:r>
        <w:rPr>
          <w:sz w:val="20"/>
        </w:rPr>
        <w:t>Context: Anastas Mikoyan, a senior Soviet politician and longtime member of the Politburo, was sent by Khrushchev to Havana after the missile withdrawal agreement to manage relations with Fidel Castro, who was enraged at being excluded from the negotiations. This excerpt comes from Mikoyan’s postwar memoirs, published in 1975. It reveals the tension between Soviet strategic interests and Cuban revolutionary pride. Castro had wanted to keep the missiles as a deterrent against U.S. invasion, but Khrushchev prioritized avoiding nuclear war. Mikoyan’s account highlights how the crisis strained the Sino-Soviet split and tested Soviet loyalty to its allies, showing that superpower diplomacy often overruled the wishes of smaller allies.</w:t>
      </w:r>
    </w:p>
    <w:p/>
    <w:p>
      <w:r>
        <w:rPr>
          <w:b/>
        </w:rPr>
        <w:t>Study the sources above and answer the following questions:</w:t>
      </w:r>
    </w:p>
    <w:p>
      <w:r>
        <w:t xml:space="preserve">1.1 </w:t>
      </w:r>
      <w:r>
        <w:t xml:space="preserve">[Source A] </w:t>
      </w:r>
      <w:r>
        <w:t>According to Walter Lippmann in Source A, what is the main danger in the Cuban Missile Crisis?</w:t>
      </w:r>
      <w:r>
        <w:rPr>
          <w:b/>
        </w:rPr>
        <w:t xml:space="preserve"> (1)</w:t>
      </w:r>
    </w:p>
    <w:p>
      <w:r>
        <w:t xml:space="preserve">1.2 </w:t>
      </w:r>
      <w:r>
        <w:t xml:space="preserve">[Source B] </w:t>
      </w:r>
      <w:r>
        <w:t>In Herbert Block's cartoon (Source B), what does the small figure labeled 'World Peace' in the back seat of the American car represent?</w:t>
      </w:r>
      <w:r>
        <w:rPr>
          <w:b/>
        </w:rPr>
        <w:t xml:space="preserve"> (1)</w:t>
      </w:r>
    </w:p>
    <w:p>
      <w:r>
        <w:t xml:space="preserve">1.3 </w:t>
      </w:r>
      <w:r>
        <w:t xml:space="preserve">[Source C] </w:t>
      </w:r>
      <w:r>
        <w:t>According to Anastas Mikoyan in Source C, why did Fidel Castro feel betrayed by the Soviet Union?</w:t>
      </w:r>
      <w:r>
        <w:rPr>
          <w:b/>
        </w:rPr>
        <w:t xml:space="preserve"> (1)</w:t>
      </w:r>
    </w:p>
    <w:p>
      <w:r>
        <w:t xml:space="preserve">2.1 </w:t>
      </w:r>
      <w:r>
        <w:t xml:space="preserve">[Source A] </w:t>
      </w:r>
      <w:r>
        <w:t>Explain what Walter Lippmann means by stating that 'History will not forgive leaders who, in seeking to avoid appearing weak, precipitate a war that neither side can win'.</w:t>
      </w:r>
      <w:r>
        <w:rPr>
          <w:b/>
        </w:rPr>
        <w:t xml:space="preserve"> (3)</w:t>
      </w:r>
    </w:p>
    <w:p>
      <w:r>
        <w:t xml:space="preserve">2.2 </w:t>
      </w:r>
      <w:r>
        <w:t xml:space="preserve">[Source B] </w:t>
      </w:r>
      <w:r>
        <w:t>Explain how the metaphor of the game of 'chicken' in Source B illustrates the dangers faced by the USA and USSR during the Cuban Missile Crisis.</w:t>
      </w:r>
      <w:r>
        <w:rPr>
          <w:b/>
        </w:rPr>
        <w:t xml:space="preserve"> (3)</w:t>
      </w:r>
    </w:p>
    <w:p>
      <w:r>
        <w:t xml:space="preserve">2.3 </w:t>
      </w:r>
      <w:r>
        <w:t xml:space="preserve">[Source C] </w:t>
      </w:r>
      <w:r>
        <w:t>Explain why Anastas Mikoyan believed the Soviet Union had to remove the missiles from Cuba, despite Fidel Castro's objections.</w:t>
      </w:r>
      <w:r>
        <w:rPr>
          <w:b/>
        </w:rPr>
        <w:t xml:space="preserve"> (4)</w:t>
      </w:r>
    </w:p>
    <w:p>
      <w:r>
        <w:t xml:space="preserve">3.1 </w:t>
      </w:r>
      <w:r>
        <w:t xml:space="preserve">[Source A] </w:t>
      </w:r>
      <w:r>
        <w:t>Analyze the perspective of Walter Lippmann in Source A. How might his identity as a prominent American journalist influence his interpretation of the Cuban Missile Crisis?</w:t>
      </w:r>
      <w:r>
        <w:rPr>
          <w:b/>
        </w:rPr>
        <w:t xml:space="preserve"> (5)</w:t>
      </w:r>
    </w:p>
    <w:p>
      <w:r>
        <w:t xml:space="preserve">3.2 </w:t>
      </w:r>
      <w:r>
        <w:t xml:space="preserve">[Source C] </w:t>
      </w:r>
      <w:r>
        <w:t>Evaluate the reliability of Anastas Mikoyan's memoir (Source C) as a source for understanding Soviet decision-making during the Cuban Missile Crisis.</w:t>
      </w:r>
      <w:r>
        <w:rPr>
          <w:b/>
        </w:rPr>
        <w:t xml:space="preserve"> (5)</w:t>
      </w:r>
    </w:p>
    <w:p>
      <w:r>
        <w:t xml:space="preserve">4.1 </w:t>
      </w:r>
      <w:r>
        <w:t xml:space="preserve">[Sources A and B] </w:t>
      </w:r>
      <w:r>
        <w:t>Compare the messages conveyed by Source A (Lippmann's editorial) and Source B (Herblock's cartoon) regarding the nature of the Cuban Missile Crisis. In what ways do they agree or differ in their portrayal of the superpowers' behavior?</w:t>
      </w:r>
      <w:r>
        <w:rPr>
          <w:b/>
        </w:rPr>
        <w:t xml:space="preserve"> (6)</w:t>
      </w:r>
    </w:p>
    <w:p/>
    <w:p>
      <w:r>
        <w:t>____________________________________________________________</w:t>
      </w:r>
    </w:p>
    <w:p>
      <w:r>
        <w:rPr>
          <w:b/>
          <w:sz w:val="28"/>
        </w:rPr>
        <w:t>QUESTION 2: The Division of Germany (1945-1949)</w:t>
      </w:r>
    </w:p>
    <w:p>
      <w:r>
        <w:rPr>
          <w:i/>
        </w:rPr>
        <w:t>[25 marks]</w:t>
      </w:r>
    </w:p>
    <w:p>
      <w:r>
        <w:rPr>
          <w:b/>
        </w:rPr>
        <w:t xml:space="preserve">Source A: </w:t>
      </w:r>
      <w:r>
        <w:t>Newspaper Editorial - Germany Must Be Divided to Prevent Future War</w:t>
      </w:r>
    </w:p>
    <w:p>
      <w:r>
        <w:t>Author/Origin: Walter Lippmann, June 15, 1945</w:t>
      </w:r>
    </w:p>
    <w:p>
      <w:r>
        <w:rPr>
          <w:i/>
        </w:rPr>
        <w:t>The question before us is not whether Germany should be punished, but how we can ensure it never again becomes a threat to world peace. The experience of two world wars teaches us that a unified, industrious Germany, even if democratically inclined, poses an inherent risk due to its geographic centrality and economic potential. Division into autonomous zones, each administered by the victorious Allies, is not an act of vengeance but a necessary prophylactic measure. Only through such separation can we prevent the reconsolidation of German military-industrial power under any future regime, however benign it may appear.</w:t>
      </w:r>
    </w:p>
    <w:p>
      <w:r>
        <w:rPr>
          <w:sz w:val="20"/>
        </w:rPr>
        <w:t>Context: Published shortly after Germany's surrender in May 1945, this influential column by Pulitzer Prize-winning journalist Walter Lippmann appeared in the New York Herald Tribune. Lippmann, a prominent foreign policy commentator, argued for the territorial and administrative division of Germany as a preventive strategy against future aggression. His views reflected growing Western Allied concerns about balancing security with postwar reconstruction, and foreshadowed the eventual split between East and West Germany. The piece was widely read by policymakers in Washington and London and contributed to early debates about Germany's fate at the Potsdam Conference.</w:t>
      </w:r>
    </w:p>
    <w:p/>
    <w:p>
      <w:r>
        <w:rPr>
          <w:b/>
        </w:rPr>
        <w:t xml:space="preserve">Source B: </w:t>
      </w:r>
      <w:r>
        <w:t>Photograph - Fraternization Ban Enforced: U.S. MPs Separate German Civilians from American Soldiers</w:t>
      </w:r>
    </w:p>
    <w:p>
      <w:r>
        <w:t>Author/Origin: U.S. Army Signal Corps, October 1945</w:t>
      </w:r>
    </w:p>
    <w:p>
      <w:r>
        <w:rPr>
          <w:i/>
        </w:rPr>
        <w:t>Black-and-white photograph showing two U.S. military police officers physically preventing interaction between a young German woman and an American soldier near a bombed-out building in Frankfurt am Main. The soldier extends a chocolate bar toward the woman, who reaches for it, while the MPs stand rigidly between them, one holding a baton. In the background, rubble-strewn streets and a partially collapsed facade illustrate the devastation of urban warfare. A sign in German and English reads: 'Fraternization Punishable Under Military Law'.</w:t>
      </w:r>
    </w:p>
    <w:p>
      <w:r>
        <w:rPr>
          <w:sz w:val="20"/>
        </w:rPr>
        <w:t>Context: Taken in October 1945 by the U.S. Army Signal Corps, this image documents the enforcement of non-fraternization policies initially imposed by U.S. forces in occupied Germany. Although the ban was gradually relaxed starting in late 1945, early occupation policy strictly prohibited personal relationships between American personnel and German nationals, reflecting fears of fraternization undermining denazification and security. The photograph captures the tension between humanitarian impulses and military discipline, as well as the broader Allied effort to maintain ideological separation during the initial phase of occupation. It was used in internal training materials and later appeared in postwar exhibitions on occupation policies.</w:t>
      </w:r>
    </w:p>
    <w:p/>
    <w:p>
      <w:r>
        <w:rPr>
          <w:b/>
        </w:rPr>
        <w:t xml:space="preserve">Source C: </w:t>
      </w:r>
      <w:r>
        <w:t>Memoir Excerpt - Life in the Soviet Sector: A Berlin Teacher’s Diary</w:t>
      </w:r>
    </w:p>
    <w:p>
      <w:r>
        <w:t>Author/Origin: Anna Schmidt (pseudonym), January 12, 1948</w:t>
      </w:r>
    </w:p>
    <w:p>
      <w:r>
        <w:rPr>
          <w:i/>
        </w:rPr>
        <w:t>Today, the Kommandantur came to our school again. They took away three more books from the library—Goethe’s Faust, Schiller’s Wilhelm Tell, and a history of the French Revolution. 'Too bourgeois,' said the young officer, though he could barely speak German. We are told to teach children that the Red Army liberated us, not defeated us. But we see the trains going east, carrying factories stripped from the West. My pupils ask why we have no coal while the lights burn bright in the Soviet sector’s administrative buildings. I answer as I must, but inside I wonder: is this peace, or just another kind of war?</w:t>
      </w:r>
    </w:p>
    <w:p>
      <w:r>
        <w:rPr>
          <w:sz w:val="20"/>
        </w:rPr>
        <w:t>Context: This diary entry is attributed to Anna Schmidt, a pseudonym used by a Berlin schoolteacher living in the Soviet-occupied sector of Berlin in early 1948. The excerpt reflects growing resentment among civilians toward Soviet reparations policies, including the dismantling of industrial equipment and its shipment to the USSR, as well as ideological censorship in education and culture. Although the diary was not published until 1961 in a collection edited by novelist Heinrich Böll, it is based on authentic accounts gathered from interviews with Berliners. The entry illustrates the contrasting experiences of occupation: while the Western zones began currency reform and economic recovery, the Soviet zone faced resource extraction and political repression, heightening tensions that would culminate in the Berlin Blockade later in 1948.</w:t>
      </w:r>
    </w:p>
    <w:p/>
    <w:p>
      <w:r>
        <w:rPr>
          <w:b/>
        </w:rPr>
        <w:t>Study the sources above and answer the following questions:</w:t>
      </w:r>
    </w:p>
    <w:p>
      <w:r>
        <w:t xml:space="preserve">1.1 </w:t>
      </w:r>
      <w:r>
        <w:t xml:space="preserve">[Source A] </w:t>
      </w:r>
      <w:r>
        <w:t>According to Walter Lippmann in Source A, what two factors make a unified Germany a threat to world peace?</w:t>
      </w:r>
      <w:r>
        <w:rPr>
          <w:b/>
        </w:rPr>
        <w:t xml:space="preserve"> (2)</w:t>
      </w:r>
    </w:p>
    <w:p>
      <w:r>
        <w:t xml:space="preserve">1.2 </w:t>
      </w:r>
      <w:r>
        <w:t xml:space="preserve">[Source B] </w:t>
      </w:r>
      <w:r>
        <w:t>Identify two visual details in Source B that show the enforcement of the fraternization ban.</w:t>
      </w:r>
      <w:r>
        <w:rPr>
          <w:b/>
        </w:rPr>
        <w:t xml:space="preserve"> (2)</w:t>
      </w:r>
    </w:p>
    <w:p>
      <w:r>
        <w:t xml:space="preserve">1.3 </w:t>
      </w:r>
      <w:r>
        <w:t xml:space="preserve">[Source C] </w:t>
      </w:r>
      <w:r>
        <w:t>From Source C, name two specific actions taken by Soviet authorities in the education system in the Soviet sector of Berlin.</w:t>
      </w:r>
      <w:r>
        <w:rPr>
          <w:b/>
        </w:rPr>
        <w:t xml:space="preserve"> (2)</w:t>
      </w:r>
    </w:p>
    <w:p>
      <w:r>
        <w:t xml:space="preserve">2.1 </w:t>
      </w:r>
      <w:r>
        <w:t xml:space="preserve">[Source A] </w:t>
      </w:r>
      <w:r>
        <w:t>Explain why Walter Lippmann argues that dividing Germany is a 'necessary prophylactic measure' rather than an act of vengeance.</w:t>
      </w:r>
      <w:r>
        <w:rPr>
          <w:b/>
        </w:rPr>
        <w:t xml:space="preserve"> (3)</w:t>
      </w:r>
    </w:p>
    <w:p>
      <w:r>
        <w:t xml:space="preserve">2.2 </w:t>
      </w:r>
      <w:r>
        <w:t xml:space="preserve">[Source B] </w:t>
      </w:r>
      <w:r>
        <w:t>Explain the purpose of the fraternization ban shown in Source B, based on the image and its context.</w:t>
      </w:r>
      <w:r>
        <w:rPr>
          <w:b/>
        </w:rPr>
        <w:t xml:space="preserve"> (3)</w:t>
      </w:r>
    </w:p>
    <w:p>
      <w:r>
        <w:t xml:space="preserve">2.3 </w:t>
      </w:r>
      <w:r>
        <w:t xml:space="preserve">[Source C] </w:t>
      </w:r>
      <w:r>
        <w:t>Explain how the experiences described by Anna Schmidt in Source C illustrate the impact of Soviet policies on daily life in the Soviet sector of Berlin.</w:t>
      </w:r>
      <w:r>
        <w:rPr>
          <w:b/>
        </w:rPr>
        <w:t xml:space="preserve"> (4)</w:t>
      </w:r>
    </w:p>
    <w:p>
      <w:r>
        <w:t xml:space="preserve">3.1 </w:t>
      </w:r>
      <w:r>
        <w:t xml:space="preserve">[Source A] </w:t>
      </w:r>
      <w:r>
        <w:t>Analyze the strengths and limitations of Source A as evidence for understanding Allied postwar planning for Germany.</w:t>
      </w:r>
      <w:r>
        <w:rPr>
          <w:b/>
        </w:rPr>
        <w:t xml:space="preserve"> (5)</w:t>
      </w:r>
    </w:p>
    <w:p>
      <w:r>
        <w:t xml:space="preserve">3.2 </w:t>
      </w:r>
      <w:r>
        <w:t xml:space="preserve">[Source C] </w:t>
      </w:r>
      <w:r>
        <w:t>To what extent is Source C reliable as evidence of living conditions in the Soviet sector of Berlin in 1948? Explain your answer.</w:t>
      </w:r>
      <w:r>
        <w:rPr>
          <w:b/>
        </w:rPr>
        <w:t xml:space="preserve"> (5)</w:t>
      </w:r>
    </w:p>
    <w:p>
      <w:r>
        <w:t xml:space="preserve">4.1 </w:t>
      </w:r>
      <w:r>
        <w:t xml:space="preserve">[Sources A, B, and C] </w:t>
      </w:r>
      <w:r>
        <w:t>Using Sources A, B, and C, explain how the Allied occupation of Germany combined strategic planning, military discipline, and ideological control to shape postwar Germany.</w:t>
      </w:r>
      <w:r>
        <w:rPr>
          <w:b/>
        </w:rPr>
        <w:t xml:space="preserve"> (8)</w:t>
      </w:r>
    </w:p>
    <w:p/>
    <w:p>
      <w:r>
        <w:t>____________________________________________________________</w:t>
      </w:r>
    </w:p>
    <w:p>
      <w:r>
        <w:rPr>
          <w:b/>
          <w:sz w:val="28"/>
        </w:rPr>
        <w:t>QUESTION 3: METHODOLOGY</w:t>
      </w:r>
    </w:p>
    <w:p>
      <w:r>
        <w:rPr>
          <w:i/>
        </w:rPr>
        <w:t>[25 marks]</w:t>
      </w:r>
    </w:p>
    <w:p>
      <w:r>
        <w:t>Use the topic of The Berlin Airlift to construct a 45-minute lesson plan for Grade 10 History learners that demonstrates your ability to design pedagogically sound, historically rigorous, and inclusive instruction. Your lesson plan must integrate historical thinking skills, appropriate resources, clear learning aims, and effective classroom management strategies tailored to diverse learner needs.</w:t>
      </w:r>
    </w:p>
    <w:p>
      <w:r>
        <w:rPr>
          <w:b/>
        </w:rPr>
        <w:t>Your response must address:</w:t>
      </w:r>
    </w:p>
    <w:p>
      <w:pPr>
        <w:pStyle w:val="ListBullet"/>
      </w:pPr>
      <w:r>
        <w:t>• Lesson steps for teacher and learner</w:t>
      </w:r>
    </w:p>
    <w:p>
      <w:pPr>
        <w:pStyle w:val="ListBullet"/>
      </w:pPr>
      <w:r>
        <w:t>• Resources to be used</w:t>
      </w:r>
    </w:p>
    <w:p>
      <w:pPr>
        <w:pStyle w:val="ListBullet"/>
      </w:pPr>
      <w:r>
        <w:t>• Aim of lesson</w:t>
      </w:r>
    </w:p>
    <w:p>
      <w:pPr>
        <w:pStyle w:val="ListBullet"/>
      </w:pPr>
      <w:r>
        <w:t>• Historical skills integration</w:t>
      </w:r>
    </w:p>
    <w:p>
      <w:pPr>
        <w:pStyle w:val="ListBullet"/>
      </w:pPr>
      <w:r>
        <w:t>• Classroom management strategies</w:t>
      </w:r>
    </w:p>
    <w:p/>
    <w:p>
      <w:r>
        <w:rPr>
          <w:b/>
        </w:rPr>
        <w:t>Detailed 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Criterion</w:t>
            </w:r>
          </w:p>
        </w:tc>
        <w:tc>
          <w:tcPr>
            <w:tcW w:type="dxa" w:w="2160"/>
            <w:shd w:fill="D9E2F3"/>
          </w:tcPr>
          <w:p>
            <w:r>
              <w:rPr>
                <w:b/>
              </w:rPr>
              <w:t>3 Marks (Excellent)</w:t>
            </w:r>
          </w:p>
        </w:tc>
        <w:tc>
          <w:tcPr>
            <w:tcW w:type="dxa" w:w="2160"/>
            <w:shd w:fill="D9E2F3"/>
          </w:tcPr>
          <w:p>
            <w:r>
              <w:rPr>
                <w:b/>
              </w:rPr>
              <w:t>2 Marks (Good)</w:t>
            </w:r>
          </w:p>
        </w:tc>
        <w:tc>
          <w:tcPr>
            <w:tcW w:type="dxa" w:w="2160"/>
            <w:shd w:fill="D9E2F3"/>
          </w:tcPr>
          <w:p>
            <w:r>
              <w:rPr>
                <w:b/>
              </w:rPr>
              <w:t>1 Mark (Basic)</w:t>
            </w:r>
          </w:p>
        </w:tc>
      </w:tr>
      <w:tr>
        <w:tc>
          <w:tcPr>
            <w:tcW w:type="dxa" w:w="2160"/>
          </w:tcPr>
          <w:p>
            <w:r>
              <w:t>Lesson Steps</w:t>
            </w:r>
          </w:p>
        </w:tc>
        <w:tc>
          <w:tcPr>
            <w:tcW w:type="dxa" w:w="2160"/>
          </w:tcPr>
          <w:p>
            <w:r>
              <w:t>Clear, detailed, and logically sequenced steps (teacher and learner actions) with time allocations, transitions, and scaffolding that support conceptual understanding of the Berlin Airlift.</w:t>
            </w:r>
          </w:p>
        </w:tc>
        <w:tc>
          <w:tcPr>
            <w:tcW w:type="dxa" w:w="2160"/>
          </w:tcPr>
          <w:p>
            <w:r>
              <w:t>Steps are present and generally logical but lack sufficient detail, timing, or clarity in teacher/learner roles.</w:t>
            </w:r>
          </w:p>
        </w:tc>
        <w:tc>
          <w:tcPr>
            <w:tcW w:type="dxa" w:w="2160"/>
          </w:tcPr>
          <w:p>
            <w:r>
              <w:t>Steps are minimal, vague, disjointed, or missing key phases (e.g., no introduction, activity, or closure).</w:t>
            </w:r>
          </w:p>
        </w:tc>
      </w:tr>
      <w:tr>
        <w:tc>
          <w:tcPr>
            <w:tcW w:type="dxa" w:w="2160"/>
          </w:tcPr>
          <w:p>
            <w:r>
              <w:t>Resources</w:t>
            </w:r>
          </w:p>
        </w:tc>
        <w:tc>
          <w:tcPr>
            <w:tcW w:type="dxa" w:w="2160"/>
          </w:tcPr>
          <w:p>
            <w:r>
              <w:t>Varied, historically appropriate, and pedagogically sound resources identified (e.g., primary sources like Truman’s speech, Stalin’s notes, photos of Tempelhof airfield, maps, oral histories, short video clips) with clear rationale for their use in promoting inquiry and empathy.</w:t>
            </w:r>
          </w:p>
        </w:tc>
        <w:tc>
          <w:tcPr>
            <w:tcW w:type="dxa" w:w="2160"/>
          </w:tcPr>
          <w:p>
            <w:r>
              <w:t>Some relevant resources mentioned but lack variety, specificity, or justification for selection.</w:t>
            </w:r>
          </w:p>
        </w:tc>
        <w:tc>
          <w:tcPr>
            <w:tcW w:type="dxa" w:w="2160"/>
          </w:tcPr>
          <w:p>
            <w:r>
              <w:t>Limited or inappropriate resource identification (e.g., only textbook references, no primary sources, or resources not aligned to learning outcomes).</w:t>
            </w:r>
          </w:p>
        </w:tc>
      </w:tr>
      <w:tr>
        <w:tc>
          <w:tcPr>
            <w:tcW w:type="dxa" w:w="2160"/>
          </w:tcPr>
          <w:p>
            <w:r>
              <w:t>Aim &amp; Outcomes</w:t>
            </w:r>
          </w:p>
        </w:tc>
        <w:tc>
          <w:tcPr>
            <w:tcW w:type="dxa" w:w="2160"/>
          </w:tcPr>
          <w:p>
            <w:r>
              <w:t>Aim is clear, focused, and historically significant; learning outcomes are measurable, student-centered, and aligned with Bloom’s taxonomy (e.g., 'Learners will analyze primary sources to evaluate the significance of the Berlin Airlift as a turning point in Cold War tensions').</w:t>
            </w:r>
          </w:p>
        </w:tc>
        <w:tc>
          <w:tcPr>
            <w:tcW w:type="dxa" w:w="2160"/>
          </w:tcPr>
          <w:p>
            <w:r>
              <w:t>Aim and outcomes are present but vague, overly broad, or not clearly measurable (e.g., 'Learners will understand the Berlin Airlift').</w:t>
            </w:r>
          </w:p>
        </w:tc>
        <w:tc>
          <w:tcPr>
            <w:tcW w:type="dxa" w:w="2160"/>
          </w:tcPr>
          <w:p>
            <w:r>
              <w:t>Aim is missing, unclear, or not related to historical understanding; outcomes are absent or trivial.</w:t>
            </w:r>
          </w:p>
        </w:tc>
      </w:tr>
      <w:tr>
        <w:tc>
          <w:tcPr>
            <w:tcW w:type="dxa" w:w="2160"/>
          </w:tcPr>
          <w:p>
            <w:r>
              <w:t>Historical Skills</w:t>
            </w:r>
          </w:p>
        </w:tc>
        <w:tc>
          <w:tcPr>
            <w:tcW w:type="dxa" w:w="2160"/>
          </w:tcPr>
          <w:p>
            <w:r>
              <w:t>Multiple historical thinking skills are explicitly and effectively integrated (e.g., sourcing, contextualization, corroboration, close reading, cause-and-effect analysis, empathy) through specific activities that require learners to engage critically with evidence.</w:t>
            </w:r>
          </w:p>
        </w:tc>
        <w:tc>
          <w:tcPr>
            <w:tcW w:type="dxa" w:w="2160"/>
          </w:tcPr>
          <w:p>
            <w:r>
              <w:t>One or two historical skills mentioned but not clearly linked to activities or lacking depth in application.</w:t>
            </w:r>
          </w:p>
        </w:tc>
        <w:tc>
          <w:tcPr>
            <w:tcW w:type="dxa" w:w="2160"/>
          </w:tcPr>
          <w:p>
            <w:r>
              <w:t>Historical skills are minimally referenced (e.g., 'learners will discuss') or absent; no evidence of skill-based pedagogy.</w:t>
            </w:r>
          </w:p>
        </w:tc>
      </w:tr>
      <w:tr>
        <w:tc>
          <w:tcPr>
            <w:tcW w:type="dxa" w:w="2160"/>
          </w:tcPr>
          <w:p>
            <w:r>
              <w:t>Classroom Management</w:t>
            </w:r>
          </w:p>
        </w:tc>
        <w:tc>
          <w:tcPr>
            <w:tcW w:type="dxa" w:w="2160"/>
          </w:tcPr>
          <w:p>
            <w:r>
              <w:t>Detailed, proactive strategies addressing diverse learners (e.g., differentiated instructions for EAL learners, visual/auditory/kinaesthetic supports, behavior expectations, group roles, time buffers, inclusive language, trauma-informed considerations for discussing postwar hardship).</w:t>
            </w:r>
          </w:p>
        </w:tc>
        <w:tc>
          <w:tcPr>
            <w:tcW w:type="dxa" w:w="2160"/>
          </w:tcPr>
          <w:p>
            <w:r>
              <w:t>Basic classroom management strategies mentioned (e.g., 'use group work', 'set rules') but lack specificity, differentiation, or foresight for potential challenges.</w:t>
            </w:r>
          </w:p>
        </w:tc>
        <w:tc>
          <w:tcPr>
            <w:tcW w:type="dxa" w:w="2160"/>
          </w:tcPr>
          <w:p>
            <w:r>
              <w:t>Minimal or no consideration of classroom management; assumes homogeneous learner needs or ignores behavioral, linguistic, or cognitive diversity.</w:t>
            </w:r>
          </w:p>
        </w:tc>
      </w:tr>
    </w:tbl>
    <w:p/>
    <w:p>
      <w:r>
        <w:rPr>
          <w:b/>
        </w:rPr>
        <w:t>Marking Notes:</w:t>
      </w:r>
    </w:p>
    <w:p>
      <w:pPr>
        <w:pStyle w:val="ListBullet"/>
      </w:pPr>
      <w:r>
        <w:t>• Award marks holistically based on overall quality</w:t>
      </w:r>
    </w:p>
    <w:p>
      <w:pPr>
        <w:pStyle w:val="ListBullet"/>
      </w:pPr>
      <w:r>
        <w:t>• Consider creativity and practical applicability</w:t>
      </w:r>
    </w:p>
    <w:p>
      <w:pPr>
        <w:pStyle w:val="ListBullet"/>
      </w:pPr>
      <w:r>
        <w:t>• Historical accuracy of content is essential</w:t>
      </w:r>
    </w:p>
    <w:p>
      <w:r>
        <w:t>____________________________________________________________</w:t>
      </w:r>
    </w:p>
    <w:p>
      <w:r>
        <w:rPr>
          <w:b/>
          <w:sz w:val="28"/>
        </w:rPr>
        <w:t>QUESTION 4: ESSAY</w:t>
      </w:r>
    </w:p>
    <w:p>
      <w:r>
        <w:rPr>
          <w:i/>
        </w:rPr>
        <w:t>[50 marks]</w:t>
      </w:r>
    </w:p>
    <w:p>
      <w:r>
        <w:rPr>
          <w:i/>
        </w:rPr>
        <w:t>While initial media coverage during the Vietnam War was often supportive of U.S. involvement, the increasing graphic and critical reporting—particularly through television—brought the realities of combat into American homes. This shift is widely regarded as having eroded public trust in government and military leadership. This question invites students to move beyond immediate wartime reactions and analyse how media portrayals contributed to lasting changes in public attitudes, culminating in what became known as the 'Vietnam Syndrome'—a reluctance to engage in foreign military interventions without clear objectives and public support. Students should evaluate the significance of this legacy in shaping U.S. foreign policy in the post-Vietnam era, including interventions in Grenada, Panama, the Gulf War, and Somalia.</w:t>
      </w:r>
    </w:p>
    <w:p>
      <w:r>
        <w:t>Assess the long-term consequences of media coverage of the Vietnam War on the relationship between the American public, the government, and the military, with specific reference to the concept of the 'Vietnam Syndrome' and its influence on subsequent U.S. foreign policy decisions.</w:t>
      </w:r>
    </w:p>
    <w:p/>
    <w:p>
      <w:r>
        <w:rPr>
          <w:b/>
          <w:color w:val="C00000"/>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DE9D9"/>
          </w:tcPr>
          <w:p>
            <w:r>
              <w:rPr>
                <w:b/>
              </w:rPr>
              <w:t>Criterion (Weight)</w:t>
            </w:r>
          </w:p>
        </w:tc>
        <w:tc>
          <w:tcPr>
            <w:tcW w:type="dxa" w:w="1728"/>
            <w:shd w:fill="FDE9D9"/>
          </w:tcPr>
          <w:p>
            <w:r>
              <w:rPr>
                <w:b/>
              </w:rPr>
              <w:t>Excellent</w:t>
            </w:r>
          </w:p>
        </w:tc>
        <w:tc>
          <w:tcPr>
            <w:tcW w:type="dxa" w:w="1728"/>
            <w:shd w:fill="FDE9D9"/>
          </w:tcPr>
          <w:p>
            <w:r>
              <w:rPr>
                <w:b/>
              </w:rPr>
              <w:t>Good</w:t>
            </w:r>
          </w:p>
        </w:tc>
        <w:tc>
          <w:tcPr>
            <w:tcW w:type="dxa" w:w="1728"/>
            <w:shd w:fill="FDE9D9"/>
          </w:tcPr>
          <w:p>
            <w:r>
              <w:rPr>
                <w:b/>
              </w:rPr>
              <w:t>Satisfactory</w:t>
            </w:r>
          </w:p>
        </w:tc>
        <w:tc>
          <w:tcPr>
            <w:tcW w:type="dxa" w:w="1728"/>
            <w:shd w:fill="FDE9D9"/>
          </w:tcPr>
          <w:p>
            <w:r>
              <w:rPr>
                <w:b/>
              </w:rPr>
              <w:t>Needs Improvement</w:t>
            </w:r>
          </w:p>
        </w:tc>
      </w:tr>
      <w:tr>
        <w:tc>
          <w:tcPr>
            <w:tcW w:type="dxa" w:w="1728"/>
          </w:tcPr>
          <w:p>
            <w:r>
              <w:t>Content &amp; Knowledge</w:t>
              <w:br/>
              <w:t>(15 marks)</w:t>
            </w:r>
          </w:p>
        </w:tc>
        <w:tc>
          <w:tcPr>
            <w:tcW w:type="dxa" w:w="1728"/>
          </w:tcPr>
          <w:p>
            <w:r>
              <w:t>[13-15]</w:t>
              <w:br/>
              <w:t>Comprehensive and accurate knowledge of media coverage during the Vietnam War, the concept of 'Vietnam Syndrome', and its impact on post-Vietnam U.S. foreign policy; demonstrates nuanced understanding of historical debates.</w:t>
            </w:r>
          </w:p>
        </w:tc>
        <w:tc>
          <w:tcPr>
            <w:tcW w:type="dxa" w:w="1728"/>
          </w:tcPr>
          <w:p>
            <w:r>
              <w:t>[10-12]</w:t>
              <w:br/>
              <w:t>Solid knowledge with minor gaps or occasional inaccuracies; shows good understanding of key events and concepts.</w:t>
            </w:r>
          </w:p>
        </w:tc>
        <w:tc>
          <w:tcPr>
            <w:tcW w:type="dxa" w:w="1728"/>
          </w:tcPr>
          <w:p>
            <w:r>
              <w:t>[7-9]</w:t>
              <w:br/>
              <w:t>Basic knowledge present but with notable omissions or simplifications; understanding is descriptive rather than analytical.</w:t>
            </w:r>
          </w:p>
        </w:tc>
        <w:tc>
          <w:tcPr>
            <w:tcW w:type="dxa" w:w="1728"/>
          </w:tcPr>
          <w:p>
            <w:r>
              <w:t>[0-6]</w:t>
              <w:br/>
              <w:t>Limited or fragmented knowledge; significant inaccuracies or lack of relevance to the question.</w:t>
            </w:r>
          </w:p>
        </w:tc>
      </w:tr>
      <w:tr>
        <w:tc>
          <w:tcPr>
            <w:tcW w:type="dxa" w:w="1728"/>
          </w:tcPr>
          <w:p>
            <w:r>
              <w:t>Analysis &amp; Argumentation</w:t>
              <w:br/>
              <w:t>(15 marks)</w:t>
            </w:r>
          </w:p>
        </w:tc>
        <w:tc>
          <w:tcPr>
            <w:tcW w:type="dxa" w:w="1728"/>
          </w:tcPr>
          <w:p>
            <w:r>
              <w:t>[13-15]</w:t>
              <w:br/>
              <w:t>Sophisticated analysis with a clear, sustained thesis; evaluates multiple perspectives and weighs the significance of media influence against other factors (e.g., military casualties, government credibility).</w:t>
            </w:r>
          </w:p>
        </w:tc>
        <w:tc>
          <w:tcPr>
            <w:tcW w:type="dxa" w:w="1728"/>
          </w:tcPr>
          <w:p>
            <w:r>
              <w:t>[10-12]</w:t>
              <w:br/>
              <w:t>Clear argument supported by reasoned analysis; some evaluation of competing viewpoints.</w:t>
            </w:r>
          </w:p>
        </w:tc>
        <w:tc>
          <w:tcPr>
            <w:tcW w:type="dxa" w:w="1728"/>
          </w:tcPr>
          <w:p>
            <w:r>
              <w:t>[7-9]</w:t>
              <w:br/>
              <w:t>Some attempt at argument and analysis, but largely descriptive or uneven in depth.</w:t>
            </w:r>
          </w:p>
        </w:tc>
        <w:tc>
          <w:tcPr>
            <w:tcW w:type="dxa" w:w="1728"/>
          </w:tcPr>
          <w:p>
            <w:r>
              <w:t>[0-6]</w:t>
              <w:br/>
              <w:t>Predominantly descriptive; lacks a coherent thesis or analytical depth.</w:t>
            </w:r>
          </w:p>
        </w:tc>
      </w:tr>
      <w:tr>
        <w:tc>
          <w:tcPr>
            <w:tcW w:type="dxa" w:w="1728"/>
          </w:tcPr>
          <w:p>
            <w:r>
              <w:t>Use of Evidence</w:t>
              <w:br/>
              <w:t>(10 marks)</w:t>
            </w:r>
          </w:p>
        </w:tc>
        <w:tc>
          <w:tcPr>
            <w:tcW w:type="dxa" w:w="1728"/>
          </w:tcPr>
          <w:p>
            <w:r>
              <w:t>[9-10]</w:t>
              <w:br/>
              <w:t>Consistently uses specific, relevant evidence (e.g., televised coverage of Tet Offensive, My Lai, Pentagon Papers, public opinion polls, speeches by Presidents Reagan, Bush Sr., Clinton) to support arguments.</w:t>
            </w:r>
          </w:p>
        </w:tc>
        <w:tc>
          <w:tcPr>
            <w:tcW w:type="dxa" w:w="1728"/>
          </w:tcPr>
          <w:p>
            <w:r>
              <w:t>[7-8]</w:t>
              <w:br/>
              <w:t>Good use of evidence with some lapses in relevance or specificity.</w:t>
            </w:r>
          </w:p>
        </w:tc>
        <w:tc>
          <w:tcPr>
            <w:tcW w:type="dxa" w:w="1728"/>
          </w:tcPr>
          <w:p>
            <w:r>
              <w:t>[5-6]</w:t>
              <w:br/>
              <w:t>Limited or generalised evidence; occasional use of examples but not consistently tied to argument.</w:t>
            </w:r>
          </w:p>
        </w:tc>
        <w:tc>
          <w:tcPr>
            <w:tcW w:type="dxa" w:w="1728"/>
          </w:tcPr>
          <w:p>
            <w:r>
              <w:t>[0-4]</w:t>
              <w:br/>
              <w:t>Little to no supporting evidence; relies on broad assertions without substantiation.</w:t>
            </w:r>
          </w:p>
        </w:tc>
      </w:tr>
      <w:tr>
        <w:tc>
          <w:tcPr>
            <w:tcW w:type="dxa" w:w="1728"/>
          </w:tcPr>
          <w:p>
            <w:r>
              <w:t>Structure &amp; Coherence</w:t>
              <w:br/>
              <w:t>(5 marks)</w:t>
            </w:r>
          </w:p>
        </w:tc>
        <w:tc>
          <w:tcPr>
            <w:tcW w:type="dxa" w:w="1728"/>
          </w:tcPr>
          <w:p>
            <w:r>
              <w:t>[5]</w:t>
              <w:br/>
              <w:t>Logical and coherent structure with a strong introduction, well-organised body paragraphs, and a convincing conclusion that synthesises arguments.</w:t>
            </w:r>
          </w:p>
        </w:tc>
        <w:tc>
          <w:tcPr>
            <w:tcW w:type="dxa" w:w="1728"/>
          </w:tcPr>
          <w:p>
            <w:r>
              <w:t>[4]</w:t>
              <w:br/>
              <w:t>Generally well-structured with clear progression of ideas; minor lapses in coherence.</w:t>
            </w:r>
          </w:p>
        </w:tc>
        <w:tc>
          <w:tcPr>
            <w:tcW w:type="dxa" w:w="1728"/>
          </w:tcPr>
          <w:p>
            <w:r>
              <w:t>[3]</w:t>
              <w:br/>
              <w:t>Basic structure evident but with some disorganisation or abrupt transitions.</w:t>
            </w:r>
          </w:p>
        </w:tc>
        <w:tc>
          <w:tcPr>
            <w:tcW w:type="dxa" w:w="1728"/>
          </w:tcPr>
          <w:p>
            <w:r>
              <w:t>[0-2]</w:t>
              <w:br/>
              <w:t>Poor organisation; lacks clear sequencing or signposting.</w:t>
            </w:r>
          </w:p>
        </w:tc>
      </w:tr>
      <w:tr>
        <w:tc>
          <w:tcPr>
            <w:tcW w:type="dxa" w:w="1728"/>
          </w:tcPr>
          <w:p>
            <w:r>
              <w:t>Language &amp; Expression</w:t>
              <w:br/>
              <w:t>(5 marks)</w:t>
            </w:r>
          </w:p>
        </w:tc>
        <w:tc>
          <w:tcPr>
            <w:tcW w:type="dxa" w:w="1728"/>
          </w:tcPr>
          <w:p>
            <w:r>
              <w:t>[5]</w:t>
              <w:br/>
              <w:t>Clear, fluent, and academic use of language; precise terminology and effective expression of complex ideas.</w:t>
            </w:r>
          </w:p>
        </w:tc>
        <w:tc>
          <w:tcPr>
            <w:tcW w:type="dxa" w:w="1728"/>
          </w:tcPr>
          <w:p>
            <w:r>
              <w:t>[4]</w:t>
              <w:br/>
              <w:t>Generally clear and appropriate language; occasional minor errors that do not impede understanding.</w:t>
            </w:r>
          </w:p>
        </w:tc>
        <w:tc>
          <w:tcPr>
            <w:tcW w:type="dxa" w:w="1728"/>
          </w:tcPr>
          <w:p>
            <w:r>
              <w:t>[3]</w:t>
              <w:br/>
              <w:t>Noticeable language issues (e.g., informal tone, grammatical errors) that occasionally affect clarity.</w:t>
            </w:r>
          </w:p>
        </w:tc>
        <w:tc>
          <w:tcPr>
            <w:tcW w:type="dxa" w:w="1728"/>
          </w:tcPr>
          <w:p>
            <w:r>
              <w:t>[0-2]</w:t>
              <w:br/>
              <w:t>Significant problems with language, grammar, or expression that hinder communication.</w:t>
            </w:r>
          </w:p>
        </w:tc>
      </w:tr>
    </w:tbl>
    <w:p/>
    <w:p>
      <w:r>
        <w:rPr>
          <w:b/>
        </w:rPr>
        <w:t>Essay Marking Guidelines:</w:t>
      </w:r>
    </w:p>
    <w:p>
      <w:pPr>
        <w:pStyle w:val="ListBullet"/>
      </w:pPr>
      <w:r>
        <w:t>1. Read the entire essay before assigning marks</w:t>
      </w:r>
    </w:p>
    <w:p>
      <w:pPr>
        <w:pStyle w:val="ListBullet"/>
      </w:pPr>
      <w:r>
        <w:t>2. Assess each criterion independently using the matrix</w:t>
      </w:r>
    </w:p>
    <w:p>
      <w:pPr>
        <w:pStyle w:val="ListBullet"/>
      </w:pPr>
      <w:r>
        <w:t>3. Use the full range of marks within each level</w:t>
      </w:r>
    </w:p>
    <w:p>
      <w:pPr>
        <w:pStyle w:val="ListBullet"/>
      </w:pPr>
      <w:r>
        <w:t>4. Provide written feedback highlighting strengths and areas for improvement</w:t>
      </w:r>
    </w:p>
    <w:p>
      <w:pPr>
        <w:pStyle w:val="ListBullet"/>
      </w:pPr>
      <w:r>
        <w:t>5. Total marks = sum of all criteria scores</w:t>
      </w:r>
    </w:p>
    <w:p/>
    <w:p>
      <w:r>
        <w:rPr>
          <w:b/>
        </w:rPr>
        <w:t>Mark Calculation: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Score</w:t>
            </w:r>
          </w:p>
        </w:tc>
      </w:tr>
      <w:tr>
        <w:tc>
          <w:tcPr>
            <w:tcW w:type="dxa" w:w="4320"/>
          </w:tcPr>
          <w:p>
            <w:r>
              <w:t>Content &amp; Knowledge (max 15)</w:t>
            </w:r>
          </w:p>
        </w:tc>
        <w:tc>
          <w:tcPr>
            <w:tcW w:type="dxa" w:w="4320"/>
          </w:tcPr>
          <w:p>
            <w:r>
              <w:t>_____ / 15</w:t>
            </w:r>
          </w:p>
        </w:tc>
      </w:tr>
      <w:tr>
        <w:tc>
          <w:tcPr>
            <w:tcW w:type="dxa" w:w="4320"/>
          </w:tcPr>
          <w:p>
            <w:r>
              <w:t>Analysis &amp; Argumentation (max 15)</w:t>
            </w:r>
          </w:p>
        </w:tc>
        <w:tc>
          <w:tcPr>
            <w:tcW w:type="dxa" w:w="4320"/>
          </w:tcPr>
          <w:p>
            <w:r>
              <w:t>_____ / 15</w:t>
            </w:r>
          </w:p>
        </w:tc>
      </w:tr>
      <w:tr>
        <w:tc>
          <w:tcPr>
            <w:tcW w:type="dxa" w:w="4320"/>
          </w:tcPr>
          <w:p>
            <w:r>
              <w:t>Use of Evidence (max 10)</w:t>
            </w:r>
          </w:p>
        </w:tc>
        <w:tc>
          <w:tcPr>
            <w:tcW w:type="dxa" w:w="4320"/>
          </w:tcPr>
          <w:p>
            <w:r>
              <w:t>_____ / 10</w:t>
            </w:r>
          </w:p>
        </w:tc>
      </w:tr>
      <w:tr>
        <w:tc>
          <w:tcPr>
            <w:tcW w:type="dxa" w:w="4320"/>
          </w:tcPr>
          <w:p>
            <w:r>
              <w:t>Structure &amp; Coherence (max 5)</w:t>
            </w:r>
          </w:p>
        </w:tc>
        <w:tc>
          <w:tcPr>
            <w:tcW w:type="dxa" w:w="4320"/>
          </w:tcPr>
          <w:p>
            <w:r>
              <w:t>_____ / 5</w:t>
            </w:r>
          </w:p>
        </w:tc>
      </w:tr>
      <w:tr>
        <w:tc>
          <w:tcPr>
            <w:tcW w:type="dxa" w:w="4320"/>
          </w:tcPr>
          <w:p>
            <w:r>
              <w:t>Language &amp; Expression (max 5)</w:t>
            </w:r>
          </w:p>
        </w:tc>
        <w:tc>
          <w:tcPr>
            <w:tcW w:type="dxa" w:w="4320"/>
          </w:tcPr>
          <w:p>
            <w:r>
              <w:t>_____ / 5</w:t>
            </w:r>
          </w:p>
        </w:tc>
      </w:tr>
      <w:tr>
        <w:tc>
          <w:tcPr>
            <w:tcW w:type="dxa" w:w="4320"/>
          </w:tcPr>
          <w:p>
            <w:r>
              <w:rPr>
                <w:b/>
              </w:rPr>
              <w:t>TOTAL</w:t>
            </w:r>
          </w:p>
        </w:tc>
        <w:tc>
          <w:tcPr>
            <w:tcW w:type="dxa" w:w="4320"/>
          </w:tcPr>
          <w:p>
            <w:r>
              <w:rPr>
                <w:b/>
              </w:rPr>
              <w:t>_____ / 50</w:t>
            </w:r>
          </w:p>
        </w:tc>
      </w:tr>
    </w:tbl>
    <w:p/>
    <w:p>
      <w:pPr>
        <w:jc w:val="center"/>
      </w:pPr>
      <w:r>
        <w:rPr>
          <w:b/>
        </w:rPr>
        <w:t>TOTAL: 125 marks</w:t>
      </w:r>
    </w:p>
    <w:p>
      <w:pPr>
        <w:jc w:val="center"/>
      </w:pPr>
      <w:r>
        <w:rPr>
          <w:b/>
          <w:color w:val="C00000"/>
        </w:rPr>
        <w:t>CONFIDENTIAL - FOR EXAMINER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