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Community Water Quality Monitoring Procedure</w:t>
      </w:r>
    </w:p>
    <w:p>
      <w:pPr>
        <w:pStyle w:val="Subtitle"/>
        <w:spacing w:after="240"/>
      </w:pPr>
      <w:r>
        <w:t>Bilingual review copy: English and Afrikaans. Human language approval required.</w:t>
      </w:r>
    </w:p>
    <w:tbl>
      <w:tblPr>
        <w:tblStyle w:val="TableGrid"/>
        <w:tblW w:type="auto" w:w="0"/>
        <w:tblLook w:firstColumn="1" w:firstRow="1" w:lastColumn="0" w:lastRow="0" w:noHBand="0" w:noVBand="1" w:val="04A0"/>
      </w:tblPr>
      <w:tblGrid>
        <w:gridCol w:w="5083"/>
        <w:gridCol w:w="5083"/>
      </w:tblGrid>
      <w:tr>
        <w:tc>
          <w:tcPr>
            <w:tcW w:type="dxa" w:w="5083"/>
            <w:shd w:fill="DCEBE8"/>
          </w:tcPr>
          <w:p>
            <w:r>
              <w:rPr>
                <w:b/>
              </w:rPr>
              <w:t>English</w:t>
            </w:r>
          </w:p>
        </w:tc>
        <w:tc>
          <w:tcPr>
            <w:tcW w:type="dxa" w:w="5083"/>
            <w:shd w:fill="DCEBE8"/>
          </w:tcPr>
          <w:p>
            <w:r>
              <w:rPr>
                <w:b/>
              </w:rPr>
              <w:t>Afrikaans</w:t>
            </w:r>
          </w:p>
        </w:tc>
      </w:tr>
      <w:tr>
        <w:tc>
          <w:tcPr>
            <w:tcW w:type="dxa" w:w="5083"/>
            <w:vAlign w:val="top"/>
          </w:tcPr>
          <w:p>
            <w:pPr>
              <w:spacing w:after="80"/>
            </w:pPr>
            <w:r>
              <w:t>Community Water Quality Monitoring Procedure</w:t>
            </w:r>
          </w:p>
        </w:tc>
        <w:tc>
          <w:tcPr>
            <w:tcW w:type="dxa" w:w="5083"/>
            <w:vAlign w:val="top"/>
          </w:tcPr>
          <w:p>
            <w:pPr>
              <w:spacing w:after="80"/>
            </w:pPr>
            <w:r>
              <w:t>Prosedure vir Gemeenskapswatergehaltemonitering</w:t>
            </w:r>
          </w:p>
        </w:tc>
      </w:tr>
      <w:tr>
        <w:tc>
          <w:tcPr>
            <w:tcW w:type="dxa" w:w="5083"/>
            <w:vAlign w:val="top"/>
          </w:tcPr>
          <w:p>
            <w:pPr>
              <w:spacing w:after="80"/>
            </w:pPr>
            <w:r>
              <w:t>Purpose: This procedure explains how field teams collect and record drinking water samples so that results are reliable and traceable to the correct site.</w:t>
            </w:r>
          </w:p>
        </w:tc>
        <w:tc>
          <w:tcPr>
            <w:tcW w:type="dxa" w:w="5083"/>
            <w:vAlign w:val="top"/>
          </w:tcPr>
          <w:p>
            <w:pPr>
              <w:spacing w:after="80"/>
            </w:pPr>
            <w:r>
              <w:t>Doel: Hierdie prosedure verduidelik hoe veldspanne drinkwatermonsters versamel en aanteken sodat resultate betroubaar is en na die korrekte terrein teruggespoor kan word.</w:t>
            </w:r>
          </w:p>
        </w:tc>
      </w:tr>
      <w:tr>
        <w:tc>
          <w:tcPr>
            <w:tcW w:type="dxa" w:w="5083"/>
            <w:vAlign w:val="top"/>
          </w:tcPr>
          <w:p>
            <w:pPr>
              <w:spacing w:after="80"/>
            </w:pPr>
            <w:r>
              <w:t>Scope: It applies to routine samples collected from reservoirs, treatment outlets, and public taps. The procedure does not cover emergency chemical spills or laboratory instrument calibration.</w:t>
            </w:r>
          </w:p>
        </w:tc>
        <w:tc>
          <w:tcPr>
            <w:tcW w:type="dxa" w:w="5083"/>
            <w:vAlign w:val="top"/>
          </w:tcPr>
          <w:p>
            <w:pPr>
              <w:spacing w:after="80"/>
            </w:pPr>
            <w:r>
              <w:t>Omvang: Dit is van toepassing op roetinemonsters wat by reservoirs, behandelingsuitlate en openbare krane versamel word. Die prosedure dek nie chemiese noodstortings of die kalibrering van laboratoriuminstrumente nie.</w:t>
            </w:r>
          </w:p>
        </w:tc>
      </w:tr>
      <w:tr>
        <w:tc>
          <w:tcPr>
            <w:tcW w:type="dxa" w:w="5083"/>
            <w:vAlign w:val="top"/>
          </w:tcPr>
          <w:p>
            <w:pPr>
              <w:spacing w:after="80"/>
            </w:pPr>
            <w:r>
              <w:t>Responsibilities: The team leader checks that each technician has PBT, clean sample bottles, and a calibrated meter. Technicians are responsible for completing the Chain of Custody Form QMS-07 and reporting unsafe conditions.</w:t>
            </w:r>
          </w:p>
        </w:tc>
        <w:tc>
          <w:tcPr>
            <w:tcW w:type="dxa" w:w="5083"/>
            <w:vAlign w:val="top"/>
          </w:tcPr>
          <w:p>
            <w:pPr>
              <w:spacing w:after="80"/>
            </w:pPr>
            <w:r>
              <w:t>Verantwoordelikhede: Die spanleier kontroleer dat elke tegnikus oor persoonlike beskermende toerusting (PBT), skoon monsterbottels en 'n gekalibreerde meter beskik. Tegnici is verantwoordelik vir die voltooiing van Bewaringskettingvorm QMS-07 en die aanmelding van onveilige toestande.</w:t>
            </w:r>
          </w:p>
        </w:tc>
      </w:tr>
      <w:tr>
        <w:tc>
          <w:tcPr>
            <w:tcW w:type="dxa" w:w="5083"/>
            <w:vAlign w:val="top"/>
          </w:tcPr>
          <w:p>
            <w:pPr>
              <w:spacing w:after="80"/>
            </w:pPr>
            <w:r>
              <w:t>Procedure: Before collecting a sample, allow the tap to run for 2 minutes. Rinse the probe with clean water, but do not rinse a sterile microbiological bottle. Record pH and turbidity in NTU at the site. Samples must be placed in a cooler between 2 and 8 degrees Celsius.</w:t>
            </w:r>
          </w:p>
        </w:tc>
        <w:tc>
          <w:tcPr>
            <w:tcW w:type="dxa" w:w="5083"/>
            <w:vAlign w:val="top"/>
          </w:tcPr>
          <w:p>
            <w:pPr>
              <w:spacing w:after="80"/>
            </w:pPr>
            <w:r>
              <w:t>Prosedure: Laat die kraan 2 minute lank loop voordat 'n monster geneem word. Spoel die sonde met skoon water af, maar moenie 'n steriele mikrobiologiese bottel uitspoel nie. Teken die pH en troebelheid in NTU op die terrein aan. Monsters moet in 'n koelhouer tussen 2 en 8 grade Celsius geplaas word.</w:t>
            </w:r>
          </w:p>
        </w:tc>
      </w:tr>
      <w:tr>
        <w:tc>
          <w:tcPr>
            <w:tcW w:type="dxa" w:w="5083"/>
            <w:vAlign w:val="top"/>
          </w:tcPr>
          <w:p>
            <w:pPr>
              <w:spacing w:after="80"/>
            </w:pPr>
            <w:r>
              <w:t>Data recording: Write the site code, date, time, and sampler initials on both the bottle and QMS-07. Corrections must be made with a single line through the error; correction fluid is not allowed. The reason for any missing reading must be stated.</w:t>
            </w:r>
          </w:p>
        </w:tc>
        <w:tc>
          <w:tcPr>
            <w:tcW w:type="dxa" w:w="5083"/>
            <w:vAlign w:val="top"/>
          </w:tcPr>
          <w:p>
            <w:pPr>
              <w:spacing w:after="80"/>
            </w:pPr>
            <w:r>
              <w:t>Data-aantekening: Skryf die terreinkode, datum, tyd en monsternemer se voorletters op die bottel en QMS-07. Maak regstellings deur 'n enkele streep deur die fout te trek; korreksievloeistof word nie toegelaat nie. Die rede vir enige ontbrekende lesing moet aangedui word.</w:t>
            </w:r>
          </w:p>
        </w:tc>
      </w:tr>
      <w:tr>
        <w:tc>
          <w:tcPr>
            <w:tcW w:type="dxa" w:w="5083"/>
            <w:vAlign w:val="top"/>
          </w:tcPr>
          <w:p>
            <w:pPr>
              <w:spacing w:after="80"/>
            </w:pPr>
            <w:r>
              <w:t>Escalation: If pH is below 6.5 or above 9.5, or turbidity is higher than 1 NTU, phone the team leader immediately. Do not tell the community that the water is safe or unsafe until the authorised official has reviewed the result.</w:t>
            </w:r>
          </w:p>
        </w:tc>
        <w:tc>
          <w:tcPr>
            <w:tcW w:type="dxa" w:w="5083"/>
            <w:vAlign w:val="top"/>
          </w:tcPr>
          <w:p>
            <w:pPr>
              <w:spacing w:after="80"/>
            </w:pPr>
            <w:r>
              <w:t>Eskalering: Indien pH laer as 6.5 of hoër as 9.5 is, of troebelheid hoër as 1 NTU is, skakel die spanleier onmiddellik. Moenie die gemeenskap inlig dat die water veilig of onveilig is voordat die gemagtigde amptenaar die resultaat hersien het nie.</w:t>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49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