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Community Water Quality Monitoring Procedure</w:t>
      </w:r>
    </w:p>
    <w:p>
      <w:pPr>
        <w:pStyle w:val="Caption"/>
      </w:pPr>
      <w:r>
        <w:t>Reason: Title is clear and correct as is.</w:t>
      </w:r>
    </w:p>
    <w:p>
      <w:pPr>
        <w:spacing w:before="160"/>
      </w:pPr>
      <w:r>
        <w:rPr>
          <w:b/>
          <w:color w:val="11494B"/>
        </w:rPr>
        <w:t>P2  No Change</w:t>
      </w:r>
    </w:p>
    <w:p>
      <w:r>
        <w:t>Purpose: This procedure explains how field teams collect and record drinking water samples so that results are reliable and traceable to the correct site.</w:t>
      </w:r>
    </w:p>
    <w:p>
      <w:pPr>
        <w:pStyle w:val="Caption"/>
      </w:pPr>
      <w:r>
        <w:t>Reason: Sentence is grammatically correct and clear.</w:t>
      </w:r>
    </w:p>
    <w:p>
      <w:pPr>
        <w:spacing w:before="160"/>
      </w:pPr>
      <w:r>
        <w:rPr>
          <w:b/>
          <w:color w:val="11494B"/>
        </w:rPr>
        <w:t>P3  No Change</w:t>
      </w:r>
    </w:p>
    <w:p>
      <w:r>
        <w:t>Scope: It applies to routine samples collected from reservoirs, treatment outlets, and public taps. The procedure does not cover emergency chemical spills or laboratory instrument calibration.</w:t>
      </w:r>
    </w:p>
    <w:p>
      <w:pPr>
        <w:pStyle w:val="Caption"/>
      </w:pPr>
      <w:r>
        <w:t>Reason: Clear and consistent with the rest of the document.</w:t>
      </w:r>
    </w:p>
    <w:p>
      <w:pPr>
        <w:spacing w:before="160"/>
      </w:pPr>
      <w:r>
        <w:rPr>
          <w:b/>
          <w:color w:val="11494B"/>
        </w:rPr>
        <w:t>P4  No Change</w:t>
      </w:r>
    </w:p>
    <w:p>
      <w:r>
        <w:t>Responsibilities: The team leader checks that each technician has PBT, clean sample bottles, and a calibrated meter. Technicians are responsible for completing the Chain of Custody Form QMS-07 and reporting unsafe conditions.</w:t>
      </w:r>
    </w:p>
    <w:p>
      <w:pPr>
        <w:pStyle w:val="Caption"/>
      </w:pPr>
      <w:r>
        <w:t>Reason: Grammatically correct and clear.</w:t>
      </w:r>
    </w:p>
    <w:p>
      <w:pPr>
        <w:spacing w:before="160"/>
      </w:pPr>
      <w:r>
        <w:rPr>
          <w:b/>
          <w:color w:val="11494B"/>
        </w:rPr>
        <w:t>P5  No Change</w:t>
      </w:r>
    </w:p>
    <w:p>
      <w:r>
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</w:r>
    </w:p>
    <w:p>
      <w:pPr>
        <w:pStyle w:val="Caption"/>
      </w:pPr>
      <w:r>
        <w:t>Reason: Clear and technically accurate.</w:t>
      </w:r>
    </w:p>
    <w:p>
      <w:pPr>
        <w:spacing w:before="160"/>
      </w:pPr>
      <w:r>
        <w:rPr>
          <w:b/>
          <w:color w:val="11494B"/>
        </w:rPr>
        <w:t>P6  No Change</w:t>
      </w:r>
    </w:p>
    <w:p>
      <w:r>
        <w:t>Data recording: Write the site code, date, time, and sampler initials on both the bottle and QMS-07. Corrections must be made with a single line through the error; correction fluid is not allowed. The reason for any missing reading must be stated.</w:t>
      </w:r>
    </w:p>
    <w:p>
      <w:pPr>
        <w:pStyle w:val="Caption"/>
      </w:pPr>
      <w:r>
        <w:t>Reason: Clear and consistent.</w:t>
      </w:r>
    </w:p>
    <w:p>
      <w:pPr>
        <w:spacing w:before="160"/>
      </w:pPr>
      <w:r>
        <w:rPr>
          <w:b/>
          <w:color w:val="11494B"/>
        </w:rPr>
        <w:t>P7  No Change</w:t>
      </w:r>
    </w:p>
    <w:p>
      <w:r>
        <w:t>Escalation: If pH is below 6.5 or above 9.5, or turbidity is higher than 1 NTU, phone the team leader immediately. Do not tell the community that the water is safe or unsafe until the authorised official has reviewed the result.</w:t>
      </w:r>
    </w:p>
    <w:p>
      <w:pPr>
        <w:pStyle w:val="Caption"/>
      </w:pPr>
      <w:r>
        <w:t>Reason: Clear and unambiguous.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