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BrightStart Community Trust</w:t>
      </w:r>
    </w:p>
    <w:p>
      <w:r>
        <w:t>**Donor/Funder:** Ubuntu Community Fund</w:t>
      </w:r>
    </w:p>
    <w:p>
      <w:r>
        <w:t>**Project:** Community Reading and Food Support Pilot</w:t>
      </w:r>
    </w:p>
    <w:p>
      <w:r>
        <w:t>**Grant ID:** GOLDEN-evidex-488c40b13ce3498ed076</w:t>
      </w:r>
    </w:p>
    <w:p>
      <w:r>
        <w:t>**Reporting Period:** 2026-04-01 to 2026-06-30</w:t>
      </w:r>
    </w:p>
    <w:p/>
    <w:p>
      <w:pPr>
        <w:pStyle w:val="Heading2"/>
      </w:pPr>
      <w:r>
        <w:t>1) Purpose</w:t>
      </w:r>
    </w:p>
    <w:p>
      <w:r>
        <w:t>This evidence pack was prepared to support **Donor evidence pack for community reading and food support pilot**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4</w:t>
      </w:r>
    </w:p>
    <w:p>
      <w:pPr>
        <w:pStyle w:val="ListBullet"/>
      </w:pPr>
      <w:r>
        <w:t>Source files reviewed: 5</w:t>
      </w:r>
    </w:p>
    <w:p>
      <w:pPr>
        <w:pStyle w:val="ListBullet"/>
      </w:pPr>
      <w:r>
        <w:t>Appendix summaries: Included</w:t>
      </w:r>
    </w:p>
    <w:p/>
    <w:p>
      <w:pPr>
        <w:pStyle w:val="Heading2"/>
      </w:pPr>
      <w:r>
        <w:t>3) KPI snapshot</w:t>
      </w:r>
    </w:p>
    <w:p>
      <w:pPr>
        <w:pStyle w:val="ListBullet"/>
      </w:pPr>
      <w:r>
        <w:t>Youth reading workshops delivered — Target: 8, Actual: 9 (Workshop sessions delivered)</w:t>
      </w:r>
    </w:p>
    <w:p>
      <w:pPr>
        <w:pStyle w:val="ListBullet"/>
      </w:pPr>
      <w:r>
        <w:t>Learners reached — Target: 120, Actual: 137 (Unique learners attending)</w:t>
      </w:r>
    </w:p>
    <w:p>
      <w:pPr>
        <w:pStyle w:val="ListBullet"/>
      </w:pPr>
      <w:r>
        <w:t>Food parcels distributed — Target: 200, Actual: 214 (Parcels issued to households)</w:t>
      </w:r>
    </w:p>
    <w:p>
      <w:pPr>
        <w:pStyle w:val="ListBullet"/>
      </w:pPr>
      <w:r>
        <w:t>Receipts reconciled — Target: 95%, Actual: 98% (Eligible spend linked to receipt records)</w:t>
      </w:r>
    </w:p>
    <w:p/>
    <w:p>
      <w:pPr>
        <w:pStyle w:val="Heading2"/>
      </w:pPr>
      <w:r>
        <w:t>4) Notes / constraints</w:t>
      </w:r>
    </w:p>
    <w:p>
      <w:r>
        <w:t>Known gaps:</w:t>
      </w:r>
    </w:p>
    <w:p>
      <w:pPr>
        <w:pStyle w:val="ListBullet"/>
      </w:pPr>
      <w:r>
        <w:t>Two photo consent forms pending; learner images excluded from public appendix.</w:t>
      </w:r>
    </w:p>
    <w:p>
      <w:pPr>
        <w:pStyle w:val="ListBullet"/>
      </w:pPr>
      <w:r>
        <w:t>Finance officer should confirm receipt total before final donor submission.</w:t>
      </w:r>
    </w:p>
    <w:p>
      <w:r>
        <w:t>Avoided claims:</w:t>
      </w:r>
    </w:p>
    <w:p>
      <w:pPr>
        <w:pStyle w:val="ListBullet"/>
      </w:pPr>
      <w:r>
        <w:t>Do not claim audited financial assurance.</w:t>
      </w:r>
    </w:p>
    <w:p>
      <w:pPr>
        <w:pStyle w:val="ListBullet"/>
      </w:pPr>
      <w:r>
        <w:t>Do not claim public permission to use learner images.</w:t>
      </w:r>
    </w:p>
    <w:p>
      <w:pPr>
        <w:pStyle w:val="ListBullet"/>
      </w:pPr>
      <w:r>
        <w:t>Do not imply donor approval has already been granted.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