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History - MEMORANDUM / MARKING GUIDE</w:t>
      </w:r>
    </w:p>
    <w:p>
      <w:r>
        <w:t>Assessment: Grade 12 History Term 3 Controlled Examination</w:t>
      </w:r>
    </w:p>
    <w:p>
      <w:r>
        <w:t>Total: 125 marks</w:t>
      </w:r>
    </w:p>
    <w:p>
      <w:pPr>
        <w:pStyle w:val="Heading1"/>
      </w:pPr>
      <w:r>
        <w:t>QUESTION 1: THE COMING OF DEMOCRACY IN SOUTH AFRICA</w:t>
      </w:r>
    </w:p>
    <w:p>
      <w:r>
        <w:rPr>
          <w:b/>
        </w:rPr>
        <w:t xml:space="preserve">1.1. </w:t>
      </w:r>
      <w:r>
        <w:t>According to Source 1A, state TWO purposes that brought delegates to the negotiation forum.</w:t>
      </w:r>
      <w:r>
        <w:rPr>
          <w:b/>
        </w:rPr>
        <w:t xml:space="preserve"> (2)</w:t>
      </w:r>
    </w:p>
    <w:p>
      <w:pPr>
        <w:pStyle w:val="ListBullet"/>
      </w:pPr>
      <w:r>
        <w:t>To end apartheid.</w:t>
      </w:r>
    </w:p>
    <w:p>
      <w:pPr>
        <w:pStyle w:val="ListBullet"/>
      </w:pPr>
      <w:r>
        <w:t>To create a democratic state based on the will of the people.</w:t>
      </w:r>
    </w:p>
    <w:p>
      <w:r>
        <w:rPr>
          <w:b/>
        </w:rPr>
        <w:t xml:space="preserve">1.2. </w:t>
      </w:r>
      <w:r>
        <w:t>Identify THREE details in Source 1B that show the inclusive and determined character of the election.</w:t>
      </w:r>
      <w:r>
        <w:rPr>
          <w:b/>
        </w:rPr>
        <w:t xml:space="preserve"> (3)</w:t>
      </w:r>
    </w:p>
    <w:p>
      <w:pPr>
        <w:pStyle w:val="ListBullet"/>
      </w:pPr>
      <w:r>
        <w:t>Any three: first-time Black voters; elderly and young voters together; parents with children; voters carrying identity documents; patient queues; celebratory atmosphere; voters describing inclusion as citizens.</w:t>
      </w:r>
    </w:p>
    <w:p>
      <w:r>
        <w:rPr>
          <w:b/>
        </w:rPr>
        <w:t xml:space="preserve">1.3. </w:t>
      </w:r>
      <w:r>
        <w:t>Explain why the assassination of Chris Hani was both a threat to and a catalyst for the negotiation process.</w:t>
      </w:r>
      <w:r>
        <w:rPr>
          <w:b/>
        </w:rPr>
        <w:t xml:space="preserve"> (3)</w:t>
      </w:r>
    </w:p>
    <w:p>
      <w:pPr>
        <w:pStyle w:val="ListBullet"/>
      </w:pPr>
      <w:r>
        <w:t>It threatened to intensify anger and political violence.</w:t>
      </w:r>
    </w:p>
    <w:p>
      <w:pPr>
        <w:pStyle w:val="ListBullet"/>
      </w:pPr>
      <w:r>
        <w:t>It increased pressure on leaders to prevent conflict.</w:t>
      </w:r>
    </w:p>
    <w:p>
      <w:pPr>
        <w:pStyle w:val="ListBullet"/>
      </w:pPr>
      <w:r>
        <w:t>It accelerated agreement on an election date.</w:t>
      </w:r>
    </w:p>
    <w:p>
      <w:r>
        <w:rPr>
          <w:b/>
        </w:rPr>
        <w:t xml:space="preserve">1.4. </w:t>
      </w:r>
      <w:r>
        <w:t>Explain how Source 1C supports Source 1A's warning that negotiations faced serious difficulties.</w:t>
      </w:r>
      <w:r>
        <w:rPr>
          <w:b/>
        </w:rPr>
        <w:t xml:space="preserve"> (4)</w:t>
      </w:r>
    </w:p>
    <w:p>
      <w:pPr>
        <w:pStyle w:val="ListBullet"/>
      </w:pPr>
      <w:r>
        <w:t>Source 1A warns that violence and opponents of majority rule could derail negotiations.</w:t>
      </w:r>
    </w:p>
    <w:p>
      <w:pPr>
        <w:pStyle w:val="ListBullet"/>
      </w:pPr>
      <w:r>
        <w:t>Source 1C identifies mistrust, violence and Hani's assassination as actual threats.</w:t>
      </w:r>
    </w:p>
    <w:p>
      <w:pPr>
        <w:pStyle w:val="ListBullet"/>
      </w:pPr>
      <w:r>
        <w:t>Together they show that negotiations occurred under sustained pressure and could have collapsed.</w:t>
      </w:r>
    </w:p>
    <w:p>
      <w:r>
        <w:rPr>
          <w:b/>
        </w:rPr>
        <w:t xml:space="preserve">1.5. </w:t>
      </w:r>
      <w:r>
        <w:t>Evaluate the usefulness of Source 1B for a historian studying public participation on 27 April 1994.</w:t>
      </w:r>
      <w:r>
        <w:rPr>
          <w:b/>
        </w:rPr>
        <w:t xml:space="preserve"> (4)</w:t>
      </w:r>
    </w:p>
    <w:p>
      <w:pPr>
        <w:pStyle w:val="ListBullet"/>
      </w:pPr>
      <w:r>
        <w:t>Useful because it is framed as a contemporary field note and records concrete behaviour at a polling station.</w:t>
      </w:r>
    </w:p>
    <w:p>
      <w:pPr>
        <w:pStyle w:val="ListBullet"/>
      </w:pPr>
      <w:r>
        <w:t>It captures first-time participation, patience and voters' stated sense of citizenship.</w:t>
      </w:r>
    </w:p>
    <w:p>
      <w:pPr>
        <w:pStyle w:val="ListBullet"/>
      </w:pPr>
      <w:r>
        <w:t>Limited because it covers one Soweto polling station and cannot represent every region or political experience.</w:t>
      </w:r>
    </w:p>
    <w:p>
      <w:r>
        <w:rPr>
          <w:b/>
        </w:rPr>
        <w:t xml:space="preserve">1.6. </w:t>
      </w:r>
      <w:r>
        <w:t>Explain TWO ways in which hindsight may influence the perspective in Source 1C.</w:t>
      </w:r>
      <w:r>
        <w:rPr>
          <w:b/>
        </w:rPr>
        <w:t xml:space="preserve"> (4)</w:t>
      </w:r>
    </w:p>
    <w:p>
      <w:pPr>
        <w:pStyle w:val="ListBullet"/>
      </w:pPr>
      <w:r>
        <w:t>The successful election may encourage a hopeful interpretation of earlier events.</w:t>
      </w:r>
    </w:p>
    <w:p>
      <w:pPr>
        <w:pStyle w:val="ListBullet"/>
      </w:pPr>
      <w:r>
        <w:t>The writer may emphasise compromise and understate unresolved divisions.</w:t>
      </w:r>
    </w:p>
    <w:p>
      <w:pPr>
        <w:pStyle w:val="ListBullet"/>
      </w:pPr>
      <w:r>
        <w:t>Retrospective memory selects events that fit the known outcome.</w:t>
      </w:r>
    </w:p>
    <w:p>
      <w:r>
        <w:rPr>
          <w:b/>
        </w:rPr>
        <w:t xml:space="preserve">1.7. </w:t>
      </w:r>
      <w:r>
        <w:t>Using all three sources and your own knowledge, assess the extent to which the 1994 election resulted from political compromise.</w:t>
      </w:r>
      <w:r>
        <w:rPr>
          <w:b/>
        </w:rPr>
        <w:t xml:space="preserve"> (5)</w:t>
      </w:r>
    </w:p>
    <w:p>
      <w:pPr>
        <w:pStyle w:val="ListBullet"/>
      </w:pPr>
      <w:r>
        <w:t>A supported judgement is required.</w:t>
      </w:r>
    </w:p>
    <w:p>
      <w:pPr>
        <w:pStyle w:val="ListBullet"/>
      </w:pPr>
      <w:r>
        <w:t>Compromise included acceptance of majority rule, constitutional protection, a phased transition and the Government of National Unity.</w:t>
      </w:r>
    </w:p>
    <w:p>
      <w:pPr>
        <w:pStyle w:val="ListBullet"/>
      </w:pPr>
      <w:r>
        <w:t>Mass participation gave the settlement democratic legitimacy.</w:t>
      </w:r>
    </w:p>
    <w:p>
      <w:pPr>
        <w:pStyle w:val="ListBullet"/>
      </w:pPr>
      <w:r>
        <w:t>Violence, pressure from civil society and the risk of breakdown also shaped the outcome.</w:t>
      </w:r>
    </w:p>
    <w:p>
      <w:pPr>
        <w:pStyle w:val="Heading1"/>
      </w:pPr>
      <w:r>
        <w:t>QUESTION 2: THE END OF THE COLD WAR AND A NEW WORLD ORDER</w:t>
      </w:r>
    </w:p>
    <w:p>
      <w:r>
        <w:rPr>
          <w:b/>
        </w:rPr>
        <w:t xml:space="preserve">2.1. </w:t>
      </w:r>
      <w:r>
        <w:t>State TWO principles of the Soviet 'new thinking' described in Source 2A.</w:t>
      </w:r>
      <w:r>
        <w:rPr>
          <w:b/>
        </w:rPr>
        <w:t xml:space="preserve"> (2)</w:t>
      </w:r>
    </w:p>
    <w:p>
      <w:pPr>
        <w:pStyle w:val="ListBullet"/>
      </w:pPr>
      <w:r>
        <w:t>States should be free to choose their political path.</w:t>
      </w:r>
    </w:p>
    <w:p>
      <w:pPr>
        <w:pStyle w:val="ListBullet"/>
      </w:pPr>
      <w:r>
        <w:t>Force or coercion should not determine international relations.</w:t>
      </w:r>
    </w:p>
    <w:p>
      <w:pPr>
        <w:pStyle w:val="ListBullet"/>
      </w:pPr>
      <w:r>
        <w:t>Ideology should not be imposed on other states.</w:t>
      </w:r>
    </w:p>
    <w:p>
      <w:r>
        <w:rPr>
          <w:b/>
        </w:rPr>
        <w:t xml:space="preserve">2.2. </w:t>
      </w:r>
      <w:r>
        <w:t>What does Source 2B identify as the significance of Moscow's decision not to send tanks to East Germany?</w:t>
      </w:r>
      <w:r>
        <w:rPr>
          <w:b/>
        </w:rPr>
        <w:t xml:space="preserve"> (2)</w:t>
      </w:r>
    </w:p>
    <w:p>
      <w:pPr>
        <w:pStyle w:val="ListBullet"/>
      </w:pPr>
      <w:r>
        <w:t>It showed that the Soviet Union would no longer preserve Eastern European communist governments by force.</w:t>
      </w:r>
    </w:p>
    <w:p>
      <w:pPr>
        <w:pStyle w:val="ListBullet"/>
      </w:pPr>
      <w:r>
        <w:t>It exposed the decline of Soviet influence.</w:t>
      </w:r>
    </w:p>
    <w:p>
      <w:r>
        <w:rPr>
          <w:b/>
        </w:rPr>
        <w:t xml:space="preserve">2.3. </w:t>
      </w:r>
      <w:r>
        <w:t>State TWO consequences of the end of superpower rivalry for South Africa.</w:t>
      </w:r>
      <w:r>
        <w:rPr>
          <w:b/>
        </w:rPr>
        <w:t xml:space="preserve"> (2)</w:t>
      </w:r>
    </w:p>
    <w:p>
      <w:pPr>
        <w:pStyle w:val="ListBullet"/>
      </w:pPr>
      <w:r>
        <w:t>It weakened the apartheid government's anti-communist justification.</w:t>
      </w:r>
    </w:p>
    <w:p>
      <w:pPr>
        <w:pStyle w:val="ListBullet"/>
      </w:pPr>
      <w:r>
        <w:t>It reduced external support for regional conflict.</w:t>
      </w:r>
    </w:p>
    <w:p>
      <w:pPr>
        <w:pStyle w:val="ListBullet"/>
      </w:pPr>
      <w:r>
        <w:t>It created a more favourable climate for negotiations.</w:t>
      </w:r>
    </w:p>
    <w:p>
      <w:r>
        <w:rPr>
          <w:b/>
        </w:rPr>
        <w:t xml:space="preserve">2.4. </w:t>
      </w:r>
      <w:r>
        <w:t>Explain how Source 2A reflects a change in Soviet foreign policy.</w:t>
      </w:r>
      <w:r>
        <w:rPr>
          <w:b/>
        </w:rPr>
        <w:t xml:space="preserve"> (3)</w:t>
      </w:r>
    </w:p>
    <w:p>
      <w:pPr>
        <w:pStyle w:val="ListBullet"/>
      </w:pPr>
      <w:r>
        <w:t>It rejects force and imposed ideology.</w:t>
      </w:r>
    </w:p>
    <w:p>
      <w:pPr>
        <w:pStyle w:val="ListBullet"/>
      </w:pPr>
      <w:r>
        <w:t>It recognises freedom of political choice.</w:t>
      </w:r>
    </w:p>
    <w:p>
      <w:pPr>
        <w:pStyle w:val="ListBullet"/>
      </w:pPr>
      <w:r>
        <w:t>This differs from earlier Soviet intervention to preserve communist rule in Eastern Europe.</w:t>
      </w:r>
    </w:p>
    <w:p>
      <w:r>
        <w:rPr>
          <w:b/>
        </w:rPr>
        <w:t xml:space="preserve">2.5. </w:t>
      </w:r>
      <w:r>
        <w:t>Explain why the opening of the Berlin Wall represented more than a change to one national border.</w:t>
      </w:r>
      <w:r>
        <w:rPr>
          <w:b/>
        </w:rPr>
        <w:t xml:space="preserve"> (3)</w:t>
      </w:r>
    </w:p>
    <w:p>
      <w:pPr>
        <w:pStyle w:val="ListBullet"/>
      </w:pPr>
      <w:r>
        <w:t>It symbolised the collapse of division in Europe.</w:t>
      </w:r>
    </w:p>
    <w:p>
      <w:pPr>
        <w:pStyle w:val="ListBullet"/>
      </w:pPr>
      <w:r>
        <w:t>It demonstrated the weakness of Soviet-backed governments.</w:t>
      </w:r>
    </w:p>
    <w:p>
      <w:pPr>
        <w:pStyle w:val="ListBullet"/>
      </w:pPr>
      <w:r>
        <w:t>It showed the combined effect of popular pressure and Soviet non-intervention.</w:t>
      </w:r>
    </w:p>
    <w:p>
      <w:r>
        <w:rPr>
          <w:b/>
        </w:rPr>
        <w:t xml:space="preserve">2.6. </w:t>
      </w:r>
      <w:r>
        <w:t>Evaluate the reliability of Source 2C as an explanation of the end of the Cold War.</w:t>
      </w:r>
      <w:r>
        <w:rPr>
          <w:b/>
        </w:rPr>
        <w:t xml:space="preserve"> (4)</w:t>
      </w:r>
    </w:p>
    <w:p>
      <w:pPr>
        <w:pStyle w:val="ListBullet"/>
      </w:pPr>
      <w:r>
        <w:t>It is reliable as a balanced constructed synthesis because it identifies reform, popular resistance and economic weakness.</w:t>
      </w:r>
    </w:p>
    <w:p>
      <w:pPr>
        <w:pStyle w:val="ListBullet"/>
      </w:pPr>
      <w:r>
        <w:t>It avoids treating Gorbachev as the only cause.</w:t>
      </w:r>
    </w:p>
    <w:p>
      <w:pPr>
        <w:pStyle w:val="ListBullet"/>
      </w:pPr>
      <w:r>
        <w:t>It remains a secondary interpretation and its claims should be checked against primary evidence.</w:t>
      </w:r>
    </w:p>
    <w:p>
      <w:r>
        <w:rPr>
          <w:b/>
        </w:rPr>
        <w:t xml:space="preserve">2.7. </w:t>
      </w:r>
      <w:r>
        <w:t>Compare how Sources 2A and 2B explain the decline of Soviet control in Eastern Europe.</w:t>
      </w:r>
      <w:r>
        <w:rPr>
          <w:b/>
        </w:rPr>
        <w:t xml:space="preserve"> (4)</w:t>
      </w:r>
    </w:p>
    <w:p>
      <w:pPr>
        <w:pStyle w:val="ListBullet"/>
      </w:pPr>
      <w:r>
        <w:t>Source 2A emphasises policy change from above: non-coercion and freedom of choice.</w:t>
      </w:r>
    </w:p>
    <w:p>
      <w:pPr>
        <w:pStyle w:val="ListBullet"/>
      </w:pPr>
      <w:r>
        <w:t>Source 2B combines Soviet non-intervention with popular pressure from below.</w:t>
      </w:r>
    </w:p>
    <w:p>
      <w:pPr>
        <w:pStyle w:val="ListBullet"/>
      </w:pPr>
      <w:r>
        <w:t>Both identify reduced Soviet willingness to use force as decisive.</w:t>
      </w:r>
    </w:p>
    <w:p>
      <w:r>
        <w:rPr>
          <w:b/>
        </w:rPr>
        <w:t xml:space="preserve">2.8. </w:t>
      </w:r>
      <w:r>
        <w:t>Using all three sources and your own knowledge, assess the extent to which Gorbachev's reforms caused the end of the Cold War.</w:t>
      </w:r>
      <w:r>
        <w:rPr>
          <w:b/>
        </w:rPr>
        <w:t xml:space="preserve"> (5)</w:t>
      </w:r>
    </w:p>
    <w:p>
      <w:pPr>
        <w:pStyle w:val="ListBullet"/>
      </w:pPr>
      <w:r>
        <w:t>A supported judgement is required.</w:t>
      </w:r>
    </w:p>
    <w:p>
      <w:pPr>
        <w:pStyle w:val="ListBullet"/>
      </w:pPr>
      <w:r>
        <w:t>Reforms and non-intervention weakened Soviet control.</w:t>
      </w:r>
    </w:p>
    <w:p>
      <w:pPr>
        <w:pStyle w:val="ListBullet"/>
      </w:pPr>
      <w:r>
        <w:t>Solidarity and other popular movements challenged communist governments.</w:t>
      </w:r>
    </w:p>
    <w:p>
      <w:pPr>
        <w:pStyle w:val="ListBullet"/>
      </w:pPr>
      <w:r>
        <w:t>Economic stagnation and wider structural pressures must also be considered.</w:t>
      </w:r>
    </w:p>
    <w:p>
      <w:pPr>
        <w:pStyle w:val="Heading1"/>
      </w:pPr>
      <w:r>
        <w:t>QUESTION 3: THE TRUTH AND RECONCILIATION COMMISSION</w:t>
      </w:r>
    </w:p>
    <w:p>
      <w:r>
        <w:rPr>
          <w:b/>
        </w:rPr>
        <w:t xml:space="preserve">3.1. </w:t>
      </w:r>
      <w:r>
        <w:t>State TWO reasons why the survivor considered public testimony necessary.</w:t>
      </w:r>
      <w:r>
        <w:rPr>
          <w:b/>
        </w:rPr>
        <w:t xml:space="preserve"> (2)</w:t>
      </w:r>
    </w:p>
    <w:p>
      <w:pPr>
        <w:pStyle w:val="ListBullet"/>
      </w:pPr>
      <w:r>
        <w:t>To obtain official acknowledgement of abuse that had been denied.</w:t>
      </w:r>
    </w:p>
    <w:p>
      <w:pPr>
        <w:pStyle w:val="ListBullet"/>
      </w:pPr>
      <w:r>
        <w:t>To discover who authorised the operation.</w:t>
      </w:r>
    </w:p>
    <w:p>
      <w:pPr>
        <w:pStyle w:val="ListBullet"/>
      </w:pPr>
      <w:r>
        <w:t>To place the experience on public record.</w:t>
      </w:r>
    </w:p>
    <w:p>
      <w:r>
        <w:rPr>
          <w:b/>
        </w:rPr>
        <w:t xml:space="preserve">3.2. </w:t>
      </w:r>
      <w:r>
        <w:t>Explain what Source 3A reveals about both the value and the difficulty of survivor testimony.</w:t>
      </w:r>
      <w:r>
        <w:rPr>
          <w:b/>
        </w:rPr>
        <w:t xml:space="preserve"> (4)</w:t>
      </w:r>
    </w:p>
    <w:p>
      <w:pPr>
        <w:pStyle w:val="ListBullet"/>
      </w:pPr>
      <w:r>
        <w:t>It provides personal detail, identifies methods of abuse and records lasting effects.</w:t>
      </w:r>
    </w:p>
    <w:p>
      <w:pPr>
        <w:pStyle w:val="ListBullet"/>
      </w:pPr>
      <w:r>
        <w:t>Testifying can restore acknowledgement.</w:t>
      </w:r>
    </w:p>
    <w:p>
      <w:pPr>
        <w:pStyle w:val="ListBullet"/>
      </w:pPr>
      <w:r>
        <w:t>Trauma and elapsed time may affect memory, so details require corroboration.</w:t>
      </w:r>
    </w:p>
    <w:p>
      <w:r>
        <w:rPr>
          <w:b/>
        </w:rPr>
        <w:t xml:space="preserve">3.3. </w:t>
      </w:r>
      <w:r>
        <w:t>Compare the views of Sources 3A and 3B on the historical value of testimony.</w:t>
      </w:r>
      <w:r>
        <w:rPr>
          <w:b/>
        </w:rPr>
        <w:t xml:space="preserve"> (4)</w:t>
      </w:r>
    </w:p>
    <w:p>
      <w:pPr>
        <w:pStyle w:val="ListBullet"/>
      </w:pPr>
      <w:r>
        <w:t>Source 3A demonstrates the detailed personal evidence testimony can provide.</w:t>
      </w:r>
    </w:p>
    <w:p>
      <w:pPr>
        <w:pStyle w:val="ListBullet"/>
      </w:pPr>
      <w:r>
        <w:t>Source 3B values the public archive but stresses that it is incomplete.</w:t>
      </w:r>
    </w:p>
    <w:p>
      <w:pPr>
        <w:pStyle w:val="ListBullet"/>
      </w:pPr>
      <w:r>
        <w:t>Both support using testimony while recognising the need for corroboration and context.</w:t>
      </w:r>
    </w:p>
    <w:p>
      <w:r>
        <w:rPr>
          <w:b/>
        </w:rPr>
        <w:t xml:space="preserve">3.4. </w:t>
      </w:r>
      <w:r>
        <w:t>Evaluate the usefulness and limitations of Source 3B for a historian assessing the TRC.</w:t>
      </w:r>
      <w:r>
        <w:rPr>
          <w:b/>
        </w:rPr>
        <w:t xml:space="preserve"> (5)</w:t>
      </w:r>
    </w:p>
    <w:p>
      <w:pPr>
        <w:pStyle w:val="ListBullet"/>
      </w:pPr>
      <w:r>
        <w:t>Useful because it explains acknowledgement, archive creation and comparison with institutional records.</w:t>
      </w:r>
    </w:p>
    <w:p>
      <w:pPr>
        <w:pStyle w:val="ListBullet"/>
      </w:pPr>
      <w:r>
        <w:t>It identifies missing testimony, incentives affecting amnesty accounts and the narrow focus on gross violations.</w:t>
      </w:r>
    </w:p>
    <w:p>
      <w:pPr>
        <w:pStyle w:val="ListBullet"/>
      </w:pPr>
      <w:r>
        <w:t>As a constructed secondary synthesis, it should be tested against hearings, reports and other scholarship.</w:t>
      </w:r>
    </w:p>
    <w:p>
      <w:r>
        <w:rPr>
          <w:b/>
        </w:rPr>
        <w:t xml:space="preserve">3.5. </w:t>
      </w:r>
      <w:r>
        <w:t>Write a historical paragraph assessing the extent to which the TRC produced both truth and reconciliation.</w:t>
      </w:r>
      <w:r>
        <w:rPr>
          <w:b/>
        </w:rPr>
        <w:t xml:space="preserve"> (10)</w:t>
      </w:r>
    </w:p>
    <w:p>
      <w:pPr>
        <w:pStyle w:val="ListBullet"/>
      </w:pPr>
      <w:r>
        <w:t>Award for a clear judgement supported by both sources.</w:t>
      </w:r>
    </w:p>
    <w:p>
      <w:pPr>
        <w:pStyle w:val="ListBullet"/>
      </w:pPr>
      <w:r>
        <w:t>Truth: public testimony, acknowledgement, archive creation and comparison with records.</w:t>
      </w:r>
    </w:p>
    <w:p>
      <w:pPr>
        <w:pStyle w:val="ListBullet"/>
      </w:pPr>
      <w:r>
        <w:t>Limitations: incomplete participation, shaped perpetrator accounts and underrepresentation of structural apartheid.</w:t>
      </w:r>
    </w:p>
    <w:p>
      <w:pPr>
        <w:pStyle w:val="ListBullet"/>
      </w:pPr>
      <w:r>
        <w:t>Reconciliation: some acknowledgement and public recognition, but unequal outcomes mean reconciliation was incomplete.</w:t>
      </w:r>
    </w:p>
    <w:p>
      <w:pPr>
        <w:pStyle w:val="ListBullet"/>
      </w:pPr>
      <w:r>
        <w:t>Credit coherent evidence use, historical reasoning and a substantiated conclusion.</w:t>
      </w:r>
    </w:p>
    <w:p>
      <w:pPr>
        <w:pStyle w:val="Heading1"/>
      </w:pPr>
      <w:r>
        <w:t>QUESTION 4: EXTENDED WRITING</w:t>
      </w:r>
    </w:p>
    <w:p>
      <w:r>
        <w:rPr>
          <w:b/>
        </w:rPr>
        <w:t xml:space="preserve">4.1. </w:t>
      </w:r>
      <w:r>
        <w:t>Evaluate the extent to which Gorbachev's reforms (glasnost and perestroika) and the events in Eastern Europe in 1989 contributed to the end of the Cold War and accelerated political change in South Africa. Support your argument with relevant historical evidence.</w:t>
      </w:r>
      <w:r>
        <w:rPr>
          <w:b/>
        </w:rPr>
        <w:t xml:space="preserve"> (50)</w:t>
      </w:r>
    </w:p>
    <w:p>
      <w:pPr>
        <w:pStyle w:val="ListBullet"/>
      </w:pPr>
      <w:r>
        <w:t>A defensible thesis that addresses 'to what extent'.</w:t>
      </w:r>
    </w:p>
    <w:p>
      <w:pPr>
        <w:pStyle w:val="ListBullet"/>
      </w:pPr>
      <w:r>
        <w:t>Gorbachev's glasnost, perestroika and non-intervention policy.</w:t>
      </w:r>
    </w:p>
    <w:p>
      <w:pPr>
        <w:pStyle w:val="ListBullet"/>
      </w:pPr>
      <w:r>
        <w:t>The role of Solidarity, the 1989 revolutions and the Berlin Wall.</w:t>
      </w:r>
    </w:p>
    <w:p>
      <w:pPr>
        <w:pStyle w:val="ListBullet"/>
      </w:pPr>
      <w:r>
        <w:t>Soviet economic and political weakness and the collapse of the USSR.</w:t>
      </w:r>
    </w:p>
    <w:p>
      <w:pPr>
        <w:pStyle w:val="ListBullet"/>
      </w:pPr>
      <w:r>
        <w:t>Consequences for South Africa alongside internal resistance, sanctions and negotiation pressure.</w:t>
      </w:r>
    </w:p>
    <w:p>
      <w:pPr>
        <w:pStyle w:val="ListBullet"/>
      </w:pPr>
      <w:r>
        <w:t>A balanced conclusion that weighs global and South African causes.</w:t>
      </w:r>
    </w:p>
    <w:p>
      <w:pPr>
        <w:pStyle w:val="Heading1"/>
      </w:pPr>
      <w:r>
        <w:t>RUBRIC</w:t>
      </w:r>
    </w:p>
    <w:tbl>
      <w:tblPr>
        <w:tblStyle w:val="TableGrid"/>
        <w:tblW w:type="auto" w:w="0"/>
        <w:tblLook w:firstColumn="1" w:firstRow="1" w:lastColumn="0" w:lastRow="0" w:noHBand="0" w:noVBand="1" w:val="04A0"/>
      </w:tblPr>
      <w:tblGrid>
        <w:gridCol w:w="3137"/>
        <w:gridCol w:w="3137"/>
        <w:gridCol w:w="3137"/>
      </w:tblGrid>
      <w:tr>
        <w:tc>
          <w:tcPr>
            <w:tcW w:type="dxa" w:w="3137"/>
          </w:tcPr>
          <w:p>
            <w:r>
              <w:t>Criterion</w:t>
            </w:r>
          </w:p>
        </w:tc>
        <w:tc>
          <w:tcPr>
            <w:tcW w:type="dxa" w:w="3137"/>
          </w:tcPr>
          <w:p>
            <w:r>
              <w:t>Marks</w:t>
            </w:r>
          </w:p>
        </w:tc>
        <w:tc>
          <w:tcPr>
            <w:tcW w:type="dxa" w:w="3137"/>
          </w:tcPr>
          <w:p>
            <w:r>
              <w:t>Descriptor</w:t>
            </w:r>
          </w:p>
        </w:tc>
      </w:tr>
      <w:tr>
        <w:tc>
          <w:tcPr>
            <w:tcW w:type="dxa" w:w="3137"/>
          </w:tcPr>
          <w:p>
            <w:r>
              <w:t>Question 1: Democracy source enquiry</w:t>
            </w:r>
          </w:p>
        </w:tc>
        <w:tc>
          <w:tcPr>
            <w:tcW w:type="dxa" w:w="3137"/>
          </w:tcPr>
          <w:p>
            <w:r>
              <w:t>25</w:t>
            </w:r>
          </w:p>
        </w:tc>
        <w:tc>
          <w:tcPr>
            <w:tcW w:type="dxa" w:w="3137"/>
          </w:tcPr>
          <w:p>
            <w:r>
              <w:t>Mark each response against its source-specific memorandum points.</w:t>
            </w:r>
          </w:p>
        </w:tc>
      </w:tr>
      <w:tr>
        <w:tc>
          <w:tcPr>
            <w:tcW w:type="dxa" w:w="3137"/>
          </w:tcPr>
          <w:p>
            <w:r>
              <w:t>Question 2: Cold War source enquiry</w:t>
            </w:r>
          </w:p>
        </w:tc>
        <w:tc>
          <w:tcPr>
            <w:tcW w:type="dxa" w:w="3137"/>
          </w:tcPr>
          <w:p>
            <w:r>
              <w:t>25</w:t>
            </w:r>
          </w:p>
        </w:tc>
        <w:tc>
          <w:tcPr>
            <w:tcW w:type="dxa" w:w="3137"/>
          </w:tcPr>
          <w:p>
            <w:r>
              <w:t>Credit accurate evidence use, comparison, evaluation and supported judgement.</w:t>
            </w:r>
          </w:p>
        </w:tc>
      </w:tr>
      <w:tr>
        <w:tc>
          <w:tcPr>
            <w:tcW w:type="dxa" w:w="3137"/>
          </w:tcPr>
          <w:p>
            <w:r>
              <w:t>Question 3: TRC historical enquiry</w:t>
            </w:r>
          </w:p>
        </w:tc>
        <w:tc>
          <w:tcPr>
            <w:tcW w:type="dxa" w:w="3137"/>
          </w:tcPr>
          <w:p>
            <w:r>
              <w:t>25</w:t>
            </w:r>
          </w:p>
        </w:tc>
        <w:tc>
          <w:tcPr>
            <w:tcW w:type="dxa" w:w="3137"/>
          </w:tcPr>
          <w:p>
            <w:r>
              <w:t>Credit corroboration, value-and-limitation reasoning and a supported historical paragraph.</w:t>
            </w:r>
          </w:p>
        </w:tc>
      </w:tr>
      <w:tr>
        <w:tc>
          <w:tcPr>
            <w:tcW w:type="dxa" w:w="3137"/>
          </w:tcPr>
          <w:p>
            <w:r>
              <w:t>Question 4: Historical essay</w:t>
            </w:r>
          </w:p>
        </w:tc>
        <w:tc>
          <w:tcPr>
            <w:tcW w:type="dxa" w:w="3137"/>
          </w:tcPr>
          <w:p>
            <w:r>
              <w:t>50</w:t>
            </w:r>
          </w:p>
        </w:tc>
        <w:tc>
          <w:tcPr>
            <w:tcW w:type="dxa" w:w="3137"/>
          </w:tcPr>
          <w:p>
            <w:r>
              <w:t>Apply the CAPS-style holistic judgement to argument, evidence, structure and conclusion.</w:t>
            </w:r>
          </w:p>
        </w:tc>
      </w:tr>
    </w:tbl>
    <w:p>
      <w:pPr>
        <w:pStyle w:val="Heading1"/>
      </w:pPr>
      <w:r>
        <w:t>EDUCATOR REVIEW</w:t>
      </w:r>
    </w:p>
    <w:p>
      <w:pPr>
        <w:pStyle w:val="ListBullet"/>
      </w:pPr>
      <w:r>
        <w:t>Confirm the constructed-source labels remain visible and no passage is presented as a verbatim historical quotation.</w:t>
      </w:r>
    </w:p>
    <w:p>
      <w:pPr>
        <w:pStyle w:val="ListBullet"/>
      </w:pPr>
      <w:r>
        <w:t>Verify factual scope against Grade 12 CAPS Term 3 content.</w:t>
      </w:r>
    </w:p>
    <w:p>
      <w:pPr>
        <w:pStyle w:val="ListBullet"/>
      </w:pPr>
      <w:r>
        <w:t>Confirm acceptable alternatives and cognitive demand in the memorandum.</w:t>
      </w:r>
    </w:p>
    <w:p>
      <w:pPr>
        <w:pStyle w:val="ListBullet"/>
      </w:pPr>
      <w:r>
        <w:t>Approve the final paper and memorandum before classroom use.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