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LIFE ORIENTATION GRADE 12 TERM 3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LIFE ORIENTATION</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LIFE ORIENTATION GRADE 12 TERM 3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A: </w:t>
            </w:r>
            <w:r>
              <w:rPr>
                <w:b/>
              </w:rPr>
              <w:t>Mahlodi community health profile</w:t>
            </w:r>
          </w:p>
          <w:p>
            <w:pPr>
              <w:spacing w:after="60"/>
            </w:pPr>
            <w:r>
              <w:rPr>
                <w:sz w:val="18"/>
              </w:rPr>
              <w:t>Type: constructed community case and survey table | Provenance: Constructed CAPS-aligned scenario for educator review; not a real community dataset. | Date: Term 3 classroom scenario | Context: Human factors, lifestyle disease and intervention planning</w:t>
            </w:r>
          </w:p>
          <w:p>
            <w:pPr>
              <w:spacing w:after="0"/>
            </w:pPr>
            <w:r>
              <w:t>Mahlodi is a low-income settlement beside an industrial area. The nearest public clinic is 12 km away and public transport is irregular. Many adults work shifts or in insecure jobs. Local shops mainly stock inexpensive processed food, while safe recreation space is limited. A voluntary screening of 200 adults recorded: raised blood pressure, 64; current smokers, 52; fewer than 150 minutes of physical activity per week, 118; missed a clinic appointment because of transport or work, 76. Women in informal work reported that unpaid care duties often prevented exercise and clinic visits. A community group proposes weekend screening, a mobile clinic, safe walking groups, nutrition workshops using affordable local foods, and referral support.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B: </w:t>
            </w:r>
            <w:r>
              <w:rPr>
                <w:b/>
              </w:rPr>
              <w:t>Extract from a proposed employment contract</w:t>
            </w:r>
          </w:p>
          <w:p>
            <w:pPr>
              <w:spacing w:after="60"/>
            </w:pPr>
            <w:r>
              <w:rPr>
                <w:sz w:val="18"/>
              </w:rPr>
              <w:t>Type: constructed workplace document | Provenance: Fictional contract extract drafted for CAPS assessment; legal details require educator verification. | Date: Proposed appointment | Context: Contract elements, rights, obligations and conditions of service</w:t>
            </w:r>
          </w:p>
          <w:p>
            <w:pPr>
              <w:spacing w:after="0"/>
            </w:pPr>
            <w:r>
              <w:t>POST: Junior Laboratory Assistant (permanent, subject to a three-month probation period). HOURS: Monday to Friday, 08:00-16:30, including a 30-minute unpaid meal interval. REMUNERATION: R12 800 per month, paid on the final working day. OVERTIME: May be worked only by prior agreement and will be compensated according to applicable law and company policy. LEAVE: Annual, sick and family-responsibility leave are provided according to applicable law and policy. EMPLOYEE DUTIES: Follow lawful instructions, wear required protective equipment, protect confidential records and report hazards. EMPLOYER DUTIES: Provide a safe workplace, agreed remuneration, fair procedures and written records of employment. GRIEVANCE: The employee may raise a concern with the supervisor, HR or a representative without retaliation.</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C: </w:t>
            </w:r>
            <w:r>
              <w:rPr>
                <w:b/>
              </w:rPr>
              <w:t>Recruitment and workplace scenario</w:t>
            </w:r>
          </w:p>
          <w:p>
            <w:pPr>
              <w:spacing w:after="60"/>
            </w:pPr>
            <w:r>
              <w:rPr>
                <w:sz w:val="18"/>
              </w:rPr>
              <w:t>Type: constructed decision case | Provenance: Constructed CAPS-aligned scenario for educator review. | Date: Recruitment exercise | Context: Equity, redress, recruitment, organised labour and work ethics</w:t>
            </w:r>
          </w:p>
          <w:p>
            <w:pPr>
              <w:spacing w:after="0"/>
            </w:pPr>
            <w:r>
              <w:t>Ubuntu Technical Services advertises two trainee posts with the same published criteria for all applicants. A shortlist panel records reasons for each decision and provides reasonable accommodation for an applicant with a hearing impairment. One manager nevertheless proposes appointing a relative who did not meet the minimum criteria. Employees at the company may join a recognised trade union, elect representatives and use a formal grievance process. The trainees will handle client information, safety checklists and shared equipment.</w:t>
            </w:r>
          </w:p>
        </w:tc>
      </w:tr>
    </w:tbl>
    <w:p>
      <w:pPr>
        <w:spacing w:after="40" w:before="0"/>
      </w:pPr>
    </w:p>
    <w:p>
      <w:pPr>
        <w:pStyle w:val="Heading1"/>
      </w:pPr>
      <w:r>
        <w:t>QUESTIONS</w:t>
      </w:r>
    </w:p>
    <w:p>
      <w:pPr>
        <w:pStyle w:val="Heading2"/>
      </w:pPr>
      <w:r>
        <w:t>QUESTION 1: HEALTH, HUMAN FACTORS AND INTERVENTION</w:t>
      </w:r>
    </w:p>
    <w:p>
      <w:r>
        <w:rPr>
          <w:b/>
        </w:rPr>
        <w:t xml:space="preserve">Instructions: </w:t>
      </w:r>
      <w:r>
        <w:t>Use Source A and relevant Life Orientation knowledge.</w:t>
      </w:r>
    </w:p>
    <w:p>
      <w:r>
        <w:rPr>
          <w:b/>
        </w:rPr>
        <w:t xml:space="preserve">Stimulus: </w:t>
      </w:r>
      <w:r>
        <w:t>Refer to SOURCE A.</w:t>
      </w:r>
    </w:p>
    <w:p>
      <w:pPr>
        <w:keepNext/>
        <w:tabs>
          <w:tab w:pos="9638" w:val="right"/>
        </w:tabs>
      </w:pPr>
      <w:r>
        <w:rPr>
          <w:b/>
        </w:rPr>
        <w:t xml:space="preserve">1.1. </w:t>
      </w:r>
      <w:r>
        <w:t>Calculate the percentage of screened adults who reported fewer than 150 minutes of physical activity per week.</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Identify TWO human factors in Source A that may increase the risk of ill-health. Explain the effect of each.</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Explain how poverty and gender imbalance may interact to make prevention or early treatment more difficult for some residents.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Evaluate TWO proposed community interventions. For each, explain how it addresses evidence in Source A.</w:t>
      </w:r>
      <w:r>
        <w:tab/>
      </w:r>
      <w:r>
        <w:rPr>
          <w:b/>
        </w:rPr>
        <w:t>(6)</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Write a realistic personal action step that could support long-term physical, mental or social well-being, and identify one way progress could be monitored.</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WORKPLACE READINESS AND FAIR PRACTICE</w:t>
      </w:r>
    </w:p>
    <w:p>
      <w:r>
        <w:rPr>
          <w:b/>
        </w:rPr>
        <w:t xml:space="preserve">Instructions: </w:t>
      </w:r>
      <w:r>
        <w:t>Use Sources B and C. Support each answer with details from the sources.</w:t>
      </w:r>
    </w:p>
    <w:p>
      <w:r>
        <w:rPr>
          <w:b/>
        </w:rPr>
        <w:t xml:space="preserve">Stimulus: </w:t>
      </w:r>
      <w:r>
        <w:t>Refer to SOURCE B and SOURCE C.</w:t>
      </w:r>
    </w:p>
    <w:p>
      <w:pPr>
        <w:keepNext/>
        <w:tabs>
          <w:tab w:pos="9638" w:val="right"/>
        </w:tabs>
      </w:pPr>
      <w:r>
        <w:rPr>
          <w:b/>
        </w:rPr>
        <w:t xml:space="preserve">2.1. </w:t>
      </w:r>
      <w:r>
        <w:t>Identify TWO employee rights or employer obligations stated in Source B. Explain why each matters.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Identify TWO employee obligations in Source B and explain how each supports a safe or ethical workplace.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Explain how the recorded selection criteria and reasonable accommodation in Source C support equity and redress.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State TWO functions that organised labour or a trade union could perform for employees in this workplace.</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Evaluate the manager's proposal to appoint a relative who does not meet the criteria. Recommend an ethical response by the panel.</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INTEGRATED TRANSITION PLAN</w:t>
      </w:r>
    </w:p>
    <w:p>
      <w:r>
        <w:rPr>
          <w:b/>
        </w:rPr>
        <w:t xml:space="preserve">Instructions: </w:t>
      </w:r>
      <w:r>
        <w:t>Apply the health and workplace ideas from all three sources.</w:t>
      </w:r>
    </w:p>
    <w:p>
      <w:r>
        <w:rPr>
          <w:b/>
        </w:rPr>
        <w:t xml:space="preserve">Stimulus: </w:t>
      </w:r>
      <w:r>
        <w:t>A Grade 12 learner is preparing for work while trying to establish healthy long-term routines.</w:t>
      </w:r>
    </w:p>
    <w:p>
      <w:pPr>
        <w:keepNext/>
        <w:tabs>
          <w:tab w:pos="9638" w:val="right"/>
        </w:tabs>
      </w:pPr>
      <w:r>
        <w:rPr>
          <w:b/>
        </w:rPr>
        <w:t xml:space="preserve">3.1. </w:t>
      </w:r>
      <w:r>
        <w:t>Develop a five-part, six-month action plan that combines workplace readiness with sustainable personal well-being. Each action must include a concrete indicator of progress.</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