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Life Orientation - MEMORANDUM / MARKING GUIDE</w:t>
      </w:r>
    </w:p>
    <w:p>
      <w:r>
        <w:t>Assessment: Life Orientation Grade 12 Term 3 Controlled Test</w:t>
      </w:r>
    </w:p>
    <w:p>
      <w:r>
        <w:t>Total: 50 marks</w:t>
      </w:r>
    </w:p>
    <w:p>
      <w:pPr>
        <w:pStyle w:val="Heading1"/>
      </w:pPr>
      <w:r>
        <w:t>QUESTION 1: HEALTH, HUMAN FACTORS AND INTERVENTION</w:t>
      </w:r>
    </w:p>
    <w:p>
      <w:r>
        <w:rPr>
          <w:b/>
        </w:rPr>
        <w:t xml:space="preserve">1.1. </w:t>
      </w:r>
      <w:r>
        <w:t>Calculate the percentage of screened adults who reported fewer than 150 minutes of physical activity per week.</w:t>
      </w:r>
      <w:r>
        <w:rPr>
          <w:b/>
        </w:rPr>
        <w:t xml:space="preserve"> (2)</w:t>
      </w:r>
    </w:p>
    <w:p>
      <w:pPr>
        <w:pStyle w:val="ListBullet"/>
      </w:pPr>
      <w:r>
        <w:t>118/200 x 100 = 59%.</w:t>
      </w:r>
    </w:p>
    <w:p>
      <w:r>
        <w:rPr>
          <w:b/>
        </w:rPr>
        <w:t xml:space="preserve">1.2. </w:t>
      </w:r>
      <w:r>
        <w:t>Identify TWO human factors in Source A that may increase the risk of ill-health. Explain the effect of each.</w:t>
      </w:r>
      <w:r>
        <w:rPr>
          <w:b/>
        </w:rPr>
        <w:t xml:space="preserve"> (4)</w:t>
      </w:r>
    </w:p>
    <w:p>
      <w:pPr>
        <w:pStyle w:val="ListBullet"/>
      </w:pPr>
      <w:r>
        <w:t>Any two supported factors: poverty/insecure work, transport barriers, limited healthy-food access, shift work, unsafe recreation space, smoking or unequal care duties.</w:t>
      </w:r>
    </w:p>
    <w:p>
      <w:pPr>
        <w:pStyle w:val="ListBullet"/>
      </w:pPr>
      <w:r>
        <w:t>Award one mark for each identified factor and one for a plausible health effect.</w:t>
      </w:r>
    </w:p>
    <w:p>
      <w:r>
        <w:rPr>
          <w:b/>
        </w:rPr>
        <w:t xml:space="preserve">1.3. </w:t>
      </w:r>
      <w:r>
        <w:t>Explain how poverty and gender imbalance may interact to make prevention or early treatment more difficult for some residents.</w:t>
      </w:r>
      <w:r>
        <w:rPr>
          <w:b/>
        </w:rPr>
        <w:t xml:space="preserve"> (4)</w:t>
      </w:r>
    </w:p>
    <w:p>
      <w:pPr>
        <w:pStyle w:val="ListBullet"/>
      </w:pPr>
      <w:r>
        <w:t>Low income and insecure work restrict transport, healthy-food choices and time for care.</w:t>
      </w:r>
    </w:p>
    <w:p>
      <w:pPr>
        <w:pStyle w:val="ListBullet"/>
      </w:pPr>
      <w:r>
        <w:t>Unequal unpaid care duties can particularly reduce women's time and autonomy.</w:t>
      </w:r>
    </w:p>
    <w:p>
      <w:pPr>
        <w:pStyle w:val="ListBullet"/>
      </w:pPr>
      <w:r>
        <w:t>The combined barriers delay screening, treatment or sustained physical activity.</w:t>
      </w:r>
    </w:p>
    <w:p>
      <w:r>
        <w:rPr>
          <w:b/>
        </w:rPr>
        <w:t xml:space="preserve">1.4. </w:t>
      </w:r>
      <w:r>
        <w:t>Evaluate TWO proposed community interventions. For each, explain how it addresses evidence in Source A.</w:t>
      </w:r>
      <w:r>
        <w:rPr>
          <w:b/>
        </w:rPr>
        <w:t xml:space="preserve"> (6)</w:t>
      </w:r>
    </w:p>
    <w:p>
      <w:pPr>
        <w:pStyle w:val="ListBullet"/>
      </w:pPr>
      <w:r>
        <w:t>Award up to three marks per intervention: name it, link it to a stated barrier/risk, and explain a likely benefit or limitation.</w:t>
      </w:r>
    </w:p>
    <w:p>
      <w:pPr>
        <w:pStyle w:val="ListBullet"/>
      </w:pPr>
      <w:r>
        <w:t>Examples include mobile clinic, weekend screening, walking groups, affordable-food workshops and referral support.</w:t>
      </w:r>
    </w:p>
    <w:p>
      <w:r>
        <w:rPr>
          <w:b/>
        </w:rPr>
        <w:t xml:space="preserve">1.5. </w:t>
      </w:r>
      <w:r>
        <w:t>Write a realistic personal action step that could support long-term physical, mental or social well-being, and identify one way progress could be monitored.</w:t>
      </w:r>
      <w:r>
        <w:rPr>
          <w:b/>
        </w:rPr>
        <w:t xml:space="preserve"> (4)</w:t>
      </w:r>
    </w:p>
    <w:p>
      <w:pPr>
        <w:pStyle w:val="ListBullet"/>
      </w:pPr>
      <w:r>
        <w:t>Specific, achievable action linked to long-term well-being (2).</w:t>
      </w:r>
    </w:p>
    <w:p>
      <w:pPr>
        <w:pStyle w:val="ListBullet"/>
      </w:pPr>
      <w:r>
        <w:t>A measurable monitoring method or indicator (1).</w:t>
      </w:r>
    </w:p>
    <w:p>
      <w:pPr>
        <w:pStyle w:val="ListBullet"/>
      </w:pPr>
      <w:r>
        <w:t>Recognition of safety, support or a likely barrier (1).</w:t>
      </w:r>
    </w:p>
    <w:p>
      <w:pPr>
        <w:pStyle w:val="Heading1"/>
      </w:pPr>
      <w:r>
        <w:t>QUESTION 2: WORKPLACE READINESS AND FAIR PRACTICE</w:t>
      </w:r>
    </w:p>
    <w:p>
      <w:r>
        <w:rPr>
          <w:b/>
        </w:rPr>
        <w:t xml:space="preserve">2.1. </w:t>
      </w:r>
      <w:r>
        <w:t>Identify TWO employee rights or employer obligations stated in Source B. Explain why each matters.</w:t>
      </w:r>
      <w:r>
        <w:rPr>
          <w:b/>
        </w:rPr>
        <w:t xml:space="preserve"> (4)</w:t>
      </w:r>
    </w:p>
    <w:p>
      <w:pPr>
        <w:pStyle w:val="ListBullet"/>
      </w:pPr>
      <w:r>
        <w:t>Any two stated items, each with significance: safe workplace, remuneration, fair procedures, records, leave, grievance route or overtime agreement/compensation.</w:t>
      </w:r>
    </w:p>
    <w:p>
      <w:r>
        <w:rPr>
          <w:b/>
        </w:rPr>
        <w:t xml:space="preserve">2.2. </w:t>
      </w:r>
      <w:r>
        <w:t>Identify TWO employee obligations in Source B and explain how each supports a safe or ethical workplace.</w:t>
      </w:r>
      <w:r>
        <w:rPr>
          <w:b/>
        </w:rPr>
        <w:t xml:space="preserve"> (4)</w:t>
      </w:r>
    </w:p>
    <w:p>
      <w:pPr>
        <w:pStyle w:val="ListBullet"/>
      </w:pPr>
      <w:r>
        <w:t>Any two: lawful instructions, PPE, confidentiality, hazard reporting; one mark for identification and one for explanation each.</w:t>
      </w:r>
    </w:p>
    <w:p>
      <w:r>
        <w:rPr>
          <w:b/>
        </w:rPr>
        <w:t xml:space="preserve">2.3. </w:t>
      </w:r>
      <w:r>
        <w:t>Explain how the recorded selection criteria and reasonable accommodation in Source C support equity and redress.</w:t>
      </w:r>
      <w:r>
        <w:rPr>
          <w:b/>
        </w:rPr>
        <w:t xml:space="preserve"> (4)</w:t>
      </w:r>
    </w:p>
    <w:p>
      <w:pPr>
        <w:pStyle w:val="ListBullet"/>
      </w:pPr>
      <w:r>
        <w:t>Common criteria and recorded reasons promote consistent, accountable selection.</w:t>
      </w:r>
    </w:p>
    <w:p>
      <w:pPr>
        <w:pStyle w:val="ListBullet"/>
      </w:pPr>
      <w:r>
        <w:t>Reasonable accommodation removes an avoidable barrier without discarding competence criteria.</w:t>
      </w:r>
    </w:p>
    <w:p>
      <w:pPr>
        <w:pStyle w:val="ListBullet"/>
      </w:pPr>
      <w:r>
        <w:t>Together they widen fair access and help address exclusion.</w:t>
      </w:r>
    </w:p>
    <w:p>
      <w:r>
        <w:rPr>
          <w:b/>
        </w:rPr>
        <w:t xml:space="preserve">2.4. </w:t>
      </w:r>
      <w:r>
        <w:t>State TWO functions that organised labour or a trade union could perform for employees in this workplace.</w:t>
      </w:r>
      <w:r>
        <w:rPr>
          <w:b/>
        </w:rPr>
        <w:t xml:space="preserve"> (3)</w:t>
      </w:r>
    </w:p>
    <w:p>
      <w:pPr>
        <w:pStyle w:val="ListBullet"/>
      </w:pPr>
      <w:r>
        <w:t>Any two relevant functions: represent members, collective bargaining, advise on rights, accompany grievances/discipline, promote safe conditions.</w:t>
      </w:r>
    </w:p>
    <w:p>
      <w:pPr>
        <w:pStyle w:val="ListBullet"/>
      </w:pPr>
      <w:r>
        <w:t>Award the third mark for a clear link to the scenario.</w:t>
      </w:r>
    </w:p>
    <w:p>
      <w:r>
        <w:rPr>
          <w:b/>
        </w:rPr>
        <w:t xml:space="preserve">2.5. </w:t>
      </w:r>
      <w:r>
        <w:t>Evaluate the manager's proposal to appoint a relative who does not meet the criteria. Recommend an ethical response by the panel.</w:t>
      </w:r>
      <w:r>
        <w:rPr>
          <w:b/>
        </w:rPr>
        <w:t xml:space="preserve"> (5)</w:t>
      </w:r>
    </w:p>
    <w:p>
      <w:pPr>
        <w:pStyle w:val="ListBullet"/>
      </w:pPr>
      <w:r>
        <w:t>Recognise conflict of interest, unfairness and damage to trust (2).</w:t>
      </w:r>
    </w:p>
    <w:p>
      <w:pPr>
        <w:pStyle w:val="ListBullet"/>
      </w:pPr>
      <w:r>
        <w:t>Reject or recuse the conflicted manager and apply the published criteria consistently (2).</w:t>
      </w:r>
    </w:p>
    <w:p>
      <w:pPr>
        <w:pStyle w:val="ListBullet"/>
      </w:pPr>
      <w:r>
        <w:t>Document and communicate the defensible decision (1).</w:t>
      </w:r>
    </w:p>
    <w:p>
      <w:pPr>
        <w:pStyle w:val="Heading1"/>
      </w:pPr>
      <w:r>
        <w:t>QUESTION 3: INTEGRATED TRANSITION PLAN</w:t>
      </w:r>
    </w:p>
    <w:p>
      <w:r>
        <w:rPr>
          <w:b/>
        </w:rPr>
        <w:t xml:space="preserve">3.1. </w:t>
      </w:r>
      <w:r>
        <w:t>Develop a five-part, six-month action plan that combines workplace readiness with sustainable personal well-being. Each action must include a concrete indicator of progress.</w:t>
      </w:r>
      <w:r>
        <w:rPr>
          <w:b/>
        </w:rPr>
        <w:t xml:space="preserve"> (10)</w:t>
      </w:r>
    </w:p>
    <w:p>
      <w:pPr>
        <w:pStyle w:val="ListBullet"/>
      </w:pPr>
      <w:r>
        <w:t>Award two marks per credible action: one for a specific action and one for a measurable indicator.</w:t>
      </w:r>
    </w:p>
    <w:p>
      <w:pPr>
        <w:pStyle w:val="ListBullet"/>
      </w:pPr>
      <w:r>
        <w:t>The plan should cover both workplace readiness and well-being, for example contract literacy, application preparation, ethical conduct, physical activity, support/referral or time management.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Criterion</w:t>
            </w:r>
          </w:p>
        </w:tc>
        <w:tc>
          <w:tcPr>
            <w:tcW w:type="dxa" w:w="3137"/>
          </w:tcPr>
          <w:p>
            <w:r>
              <w:t>Marks</w:t>
            </w:r>
          </w:p>
        </w:tc>
        <w:tc>
          <w:tcPr>
            <w:tcW w:type="dxa" w:w="3137"/>
          </w:tcPr>
          <w:p>
            <w:r>
              <w:t>Descriptor</w:t>
            </w:r>
          </w:p>
        </w:tc>
      </w:tr>
      <w:tr>
        <w:tc>
          <w:tcPr>
            <w:tcW w:type="dxa" w:w="3137"/>
          </w:tcPr>
          <w:p>
            <w:r>
              <w:t>Question 1: Health and intervention</w:t>
            </w:r>
          </w:p>
        </w:tc>
        <w:tc>
          <w:tcPr>
            <w:tcW w:type="dxa" w:w="3137"/>
          </w:tcPr>
          <w:p>
            <w:r>
              <w:t>20</w:t>
            </w:r>
          </w:p>
        </w:tc>
        <w:tc>
          <w:tcPr>
            <w:tcW w:type="dxa" w:w="3137"/>
          </w:tcPr>
          <w:p>
            <w:r>
              <w:t>Data use, human-factor reasoning and feasible intervention planning.</w:t>
            </w:r>
          </w:p>
        </w:tc>
      </w:tr>
      <w:tr>
        <w:tc>
          <w:tcPr>
            <w:tcW w:type="dxa" w:w="3137"/>
          </w:tcPr>
          <w:p>
            <w:r>
              <w:t>Question 2: Workplace readiness</w:t>
            </w:r>
          </w:p>
        </w:tc>
        <w:tc>
          <w:tcPr>
            <w:tcW w:type="dxa" w:w="3137"/>
          </w:tcPr>
          <w:p>
            <w:r>
              <w:t>20</w:t>
            </w:r>
          </w:p>
        </w:tc>
        <w:tc>
          <w:tcPr>
            <w:tcW w:type="dxa" w:w="3137"/>
          </w:tcPr>
          <w:p>
            <w:r>
              <w:t>Contract evidence, fair practice, organised labour and ethical judgement.</w:t>
            </w:r>
          </w:p>
        </w:tc>
      </w:tr>
      <w:tr>
        <w:tc>
          <w:tcPr>
            <w:tcW w:type="dxa" w:w="3137"/>
          </w:tcPr>
          <w:p>
            <w:r>
              <w:t>Question 3: Integrated plan</w:t>
            </w:r>
          </w:p>
        </w:tc>
        <w:tc>
          <w:tcPr>
            <w:tcW w:type="dxa" w:w="3137"/>
          </w:tcPr>
          <w:p>
            <w:r>
              <w:t>10</w:t>
            </w:r>
          </w:p>
        </w:tc>
        <w:tc>
          <w:tcPr>
            <w:tcW w:type="dxa" w:w="3137"/>
          </w:tcPr>
          <w:p>
            <w:r>
              <w:t>Specific actions with measurable progress indicators.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Confirm the Grade 12 Term 3 health and workplace scope.</w:t>
      </w:r>
    </w:p>
    <w:p>
      <w:pPr>
        <w:pStyle w:val="ListBullet"/>
      </w:pPr>
      <w:r>
        <w:t>Verify employment-law framing against current school-approved material before use.</w:t>
      </w:r>
    </w:p>
    <w:p>
      <w:pPr>
        <w:pStyle w:val="ListBullet"/>
      </w:pPr>
      <w:r>
        <w:t>Accept well-supported alternative interventions and action plans.</w:t>
      </w:r>
    </w:p>
    <w:p>
      <w:pPr>
        <w:pStyle w:val="ListBullet"/>
      </w:pPr>
      <w:r>
        <w:t>Approve the paper and memorandum before classroom use.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