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VISUELE MATERIAAL</w:t>
      </w:r>
    </w:p>
    <w:p>
      <w:pPr>
        <w:keepNext/>
        <w:spacing w:before="0" w:after="0"/>
      </w:pPr>
      <w:r>
        <w:rPr>
          <w:b/>
        </w:rPr>
        <w:t>FIGUUR 1: Teksrespons- en taalbeplanner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geintegreerde begrip, opsomming en taalstrukture en spotprent-, advertensie- of infografika-ontleding.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redigering vir grammatika, woordkeuse, register en leestekens.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formele transaksionele skryfwerk en beheerde antwoordbeplanning.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