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final integrated language examination practice and unseen text interpretation and visual literacy synthesis.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time-managed summary, editing and evidence-based answers.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extended writing with argument, coherence and style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