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80"/>
      </w:pPr>
      <w:r>
        <w:rPr>
          <w:b/>
          <w:color w:val="245A9B"/>
          <w:sz w:val="20"/>
        </w:rPr>
        <w:t xml:space="preserve">DIO CONTRACTPROOF</w:t>
      </w:r>
    </w:p>
    <w:p>
      <w:pPr>
        <w:pStyle w:val="Title"/>
        <w:spacing w:before="0" w:after="120"/>
      </w:pPr>
      <w:r>
        <w:rPr/>
        <w:t xml:space="preserve">ContractProof Evidence Review</w:t>
      </w:r>
    </w:p>
    <w:p>
      <w:pPr>
        <w:spacing w:before="0" w:after="160"/>
      </w:pPr>
      <w:r>
        <w:rPr>
          <w:color w:val="667085"/>
          <w:sz w:val="26"/>
        </w:rPr>
        <w:t xml:space="preserve">Evidence readiness and obligation review</w:t>
      </w:r>
    </w:p>
    <w:p>
      <w:pPr>
        <w:spacing w:before="0" w:after="240"/>
      </w:pPr>
      <w:r>
        <w:rPr>
          <w:b/>
        </w:rPr>
        <w:t xml:space="preserve">Case CASE-CB211009964B27C7</w:t>
      </w:r>
    </w:p>
    <w:p>
      <w:pPr>
        <w:spacing w:before="0" w:after="260"/>
      </w:pPr>
      <w:r>
        <w:rPr>
          <w:sz w:val="23"/>
        </w:rPr>
        <w:t xml:space="preserve">Review contractual obligations and the evidence presently available for human assessment.</w:t>
      </w:r>
    </w:p>
    <w:p>
      <w:pPr>
        <w:spacing w:before="0" w:after="300"/>
      </w:pPr>
      <w:r>
        <w:rPr>
          <w:b/>
          <w:color w:val="9A5600"/>
          <w:sz w:val="21"/>
        </w:rPr>
        <w:t xml:space="preserve">INTERNAL REVIEW CANDIDATE · HUMAN DECISION REQUIRED</w:t>
      </w:r>
    </w:p>
    <w:p>
      <w:pPr>
        <w:pStyle w:val="Heading1"/>
        <w:spacing w:before="0" w:after="100"/>
      </w:pPr>
      <w:r>
        <w:rPr/>
        <w:t xml:space="preserve">Executive summary</w:t>
      </w:r>
    </w:p>
    <w:p>
      <w:pPr>
        <w:spacing w:before="0" w:after="100"/>
      </w:pPr>
      <w:r>
        <w:rPr/>
        <w:t xml:space="preserve">5 human review required.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7200"/>
        <w:gridCol w:w="2160"/>
      </w:tblGrid>
      <w:tr>
        <w:tc>
          <w:tcPr>
            <w:tcW w:w="72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Review state</w:t>
            </w:r>
          </w:p>
        </w:tc>
        <w:tc>
          <w:tcPr>
            <w:tcW w:w="21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Count</w:t>
            </w:r>
          </w:p>
        </w:tc>
      </w:tr>
      <w:tr>
        <w:tc>
          <w:tcPr>
            <w:tcW w:w="7200" w:type="dxa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/>
            </w:pPr>
            <w:r>
              <w:rPr/>
              <w:t xml:space="preserve">5</w:t>
            </w:r>
          </w:p>
        </w:tc>
      </w:tr>
    </w:tbl>
    <w:p>
      <w:pPr>
        <w:pStyle w:val="Heading1"/>
        <w:spacing w:before="0" w:after="100"/>
      </w:pPr>
      <w:r>
        <w:rPr/>
        <w:t xml:space="preserve">Priority actions</w:t>
      </w:r>
    </w:p>
    <w:p>
      <w:pPr>
        <w:spacing w:before="0" w:after="40"/>
      </w:pPr>
      <w:r>
        <w:rPr>
          <w:b/>
        </w:rPr>
        <w:t xml:space="preserve">1. Human review required: Base contract effective date: 1 January 2026.</w:t>
      </w:r>
    </w:p>
    <w:p>
      <w:pPr>
        <w:spacing w:before="0" w:after="120"/>
      </w:pPr>
      <w:r>
        <w:rPr>
          <w:color w:val="667085"/>
        </w:rPr>
        <w:t xml:space="preserve">extraction candidate requires human review before fulfilment assessment</w:t>
      </w:r>
    </w:p>
    <w:p>
      <w:pPr>
        <w:spacing w:before="0" w:after="40"/>
      </w:pPr>
      <w:r>
        <w:rPr>
          <w:b/>
        </w:rPr>
        <w:t xml:space="preserve">2. Human review required: Monthly service report is due within five business days after month end.</w:t>
      </w:r>
    </w:p>
    <w:p>
      <w:pPr>
        <w:spacing w:before="0" w:after="120"/>
      </w:pPr>
      <w:r>
        <w:rPr>
          <w:color w:val="667085"/>
        </w:rPr>
        <w:t xml:space="preserve">extraction candidate requires human review before fulfilment assessment</w:t>
      </w:r>
    </w:p>
    <w:p>
      <w:pPr>
        <w:spacing w:before="0" w:after="40"/>
      </w:pPr>
      <w:r>
        <w:rPr>
          <w:b/>
        </w:rPr>
        <w:t xml:space="preserve">3. Human review required: Amendment 1 changes the emergency-response target from 90 to 75 minutes effective 1 June 2026.</w:t>
      </w:r>
    </w:p>
    <w:p>
      <w:pPr>
        <w:spacing w:before="0" w:after="120"/>
      </w:pPr>
      <w:r>
        <w:rPr>
          <w:color w:val="667085"/>
        </w:rPr>
        <w:t xml:space="preserve">extraction candidate requires human review before fulfilment assessment</w:t>
      </w:r>
    </w:p>
    <w:p>
      <w:pPr>
        <w:spacing w:before="0" w:after="40"/>
      </w:pPr>
      <w:r>
        <w:rPr>
          <w:b/>
        </w:rPr>
        <w:t xml:space="preserve">4. Human review required: July service report was sent on 8 August 2026.</w:t>
      </w:r>
    </w:p>
    <w:p>
      <w:pPr>
        <w:spacing w:before="0" w:after="120"/>
      </w:pPr>
      <w:r>
        <w:rPr>
          <w:color w:val="667085"/>
        </w:rPr>
        <w:t xml:space="preserve">extraction candidate requires human review before fulfilment assessment</w:t>
      </w:r>
    </w:p>
    <w:p>
      <w:pPr>
        <w:spacing w:before="0" w:after="40"/>
      </w:pPr>
      <w:r>
        <w:rPr>
          <w:b/>
        </w:rPr>
        <w:t xml:space="preserve">5. Human review required: A client email disputes whether one July call met the amended target.</w:t>
      </w:r>
    </w:p>
    <w:p>
      <w:pPr>
        <w:spacing w:before="0" w:after="120"/>
      </w:pPr>
      <w:r>
        <w:rPr>
          <w:color w:val="667085"/>
        </w:rPr>
        <w:t xml:space="preserve">extraction candidate requires human review before fulfilment assessment</w:t>
      </w:r>
    </w:p>
    <w:p>
      <w:pPr>
        <w:pStyle w:val="Heading1"/>
        <w:spacing w:before="0" w:after="100"/>
      </w:pPr>
      <w:r>
        <w:rPr/>
        <w:t xml:space="preserve">Obligation review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1900"/>
        <w:gridCol w:w="4700"/>
        <w:gridCol w:w="1400"/>
        <w:gridCol w:w="1360"/>
      </w:tblGrid>
      <w:tr>
        <w:tc>
          <w:tcPr>
            <w:tcW w:w="19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47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Obligation</w:t>
            </w:r>
          </w:p>
        </w:tc>
        <w:tc>
          <w:tcPr>
            <w:tcW w:w="14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3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40"/>
            </w:pPr>
            <w:r>
              <w:rPr/>
              <w:t xml:space="preserve">C-01 · Base contract effective date: 1 January 2026.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rPr/>
              <w:t xml:space="preserve">Contract Manager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40"/>
            </w:pPr>
            <w:r>
              <w:rPr/>
              <w:t xml:space="preserve">Not specified</w:t>
            </w:r>
          </w:p>
        </w:tc>
      </w:tr>
      <w:tr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47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C-02 · Monthly service report is due within five business days after month end.</w:t>
            </w:r>
          </w:p>
        </w:tc>
        <w:tc>
          <w:tcPr>
            <w:tcW w:w="14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Contract Manager</w:t>
            </w:r>
          </w:p>
        </w:tc>
        <w:tc>
          <w:tcPr>
            <w:tcW w:w="13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Not specified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40"/>
            </w:pPr>
            <w:r>
              <w:rPr/>
              <w:t xml:space="preserve">C-03 · Amendment 1 changes the emergency-response target from 90 to 75 minutes effective 1 June 2026.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rPr/>
              <w:t xml:space="preserve">Contract Manager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40"/>
            </w:pPr>
            <w:r>
              <w:rPr/>
              <w:t xml:space="preserve">Not specified</w:t>
            </w:r>
          </w:p>
        </w:tc>
      </w:tr>
      <w:tr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47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C-04 · July service report was sent on 8 August 2026.</w:t>
            </w:r>
          </w:p>
        </w:tc>
        <w:tc>
          <w:tcPr>
            <w:tcW w:w="14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Contract Manager</w:t>
            </w:r>
          </w:p>
        </w:tc>
        <w:tc>
          <w:tcPr>
            <w:tcW w:w="13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Not specified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Human review required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40"/>
            </w:pPr>
            <w:r>
              <w:rPr/>
              <w:t xml:space="preserve">C-05 · A client email disputes whether one July call met the amended target.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rPr/>
              <w:t xml:space="preserve">Contract Manager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40"/>
            </w:pPr>
            <w:r>
              <w:rPr/>
              <w:t xml:space="preserve">Not specified</w:t>
            </w:r>
          </w:p>
        </w:tc>
      </w:tr>
    </w:tbl>
    <w:p>
      <w:pPr>
        <w:pStyle w:val="Heading1"/>
        <w:spacing w:before="0" w:after="100"/>
      </w:pPr>
      <w:r>
        <w:rPr/>
        <w:t xml:space="preserve">Deadline register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2500"/>
        <w:gridCol w:w="3860"/>
        <w:gridCol w:w="3000"/>
      </w:tblGrid>
      <w:tr>
        <w:tc>
          <w:tcPr>
            <w:tcW w:w="25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38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30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State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40"/>
            </w:pPr>
            <w:r>
              <w:rPr/>
              <w:t xml:space="preserve">No explicit deadlines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/>
              <w:t xml:space="preserve">Unknown</w:t>
            </w:r>
          </w:p>
        </w:tc>
      </w:tr>
    </w:tbl>
    <w:p>
      <w:pPr>
        <w:pStyle w:val="Heading1"/>
        <w:spacing w:before="0" w:after="100"/>
      </w:pPr>
      <w:r>
        <w:rPr/>
        <w:t xml:space="preserve">Evidence reconciliation</w:t>
      </w:r>
    </w:p>
    <w:p>
      <w:pPr>
        <w:spacing w:before="0" w:after="100"/>
      </w:pPr>
      <w:r>
        <w:rPr>
          <w:color w:val="667085"/>
        </w:rPr>
        <w:t xml:space="preserve">Candidate mappings only. Adverse signals require human assessment and do not establish breach or fulfilment.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3000"/>
        <w:gridCol w:w="900"/>
        <w:gridCol w:w="1300"/>
        <w:gridCol w:w="2860"/>
        <w:gridCol w:w="1300"/>
      </w:tblGrid>
      <w:tr>
        <w:tc>
          <w:tcPr>
            <w:tcW w:w="30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Attachment</w:t>
            </w:r>
          </w:p>
        </w:tc>
        <w:tc>
          <w:tcPr>
            <w:tcW w:w="9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Clause</w:t>
            </w:r>
          </w:p>
        </w:tc>
        <w:tc>
          <w:tcPr>
            <w:tcW w:w="13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Relation</w:t>
            </w:r>
          </w:p>
        </w:tc>
        <w:tc>
          <w:tcPr>
            <w:tcW w:w="28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Signals</w:t>
            </w:r>
          </w:p>
        </w:tc>
        <w:tc>
          <w:tcPr>
            <w:tcW w:w="13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Freshness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40"/>
            </w:pPr>
            <w:r>
              <w:rPr/>
              <w:t xml:space="preserve">No reconciliation supplied</w:t>
            </w:r>
          </w:p>
        </w:tc>
        <w:tc>
          <w:tcPr>
            <w:tcW w:w="90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  <w:tc>
          <w:tcPr>
            <w:tcW w:w="286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40"/>
            </w:pPr>
            <w:r>
              <w:rPr/>
              <w:t xml:space="preserve">-</w:t>
            </w:r>
          </w:p>
        </w:tc>
      </w:tr>
    </w:tbl>
    <w:p>
      <w:pPr>
        <w:pStyle w:val="Heading1"/>
        <w:spacing w:before="0" w:after="100"/>
      </w:pPr>
      <w:r>
        <w:rPr/>
        <w:t xml:space="preserve">Evidence inventory</w:t>
      </w:r>
    </w:p>
    <w:tbl>
      <w:tblPr>
        <w:tblW w:w="9360" w:type="dxa"/>
        <w:tblBorders>
          <w:top w:val="single" w:sz="4" w:color="D8E0EB"/>
          <w:left w:val="single" w:sz="4" w:color="D8E0EB"/>
          <w:bottom w:val="single" w:sz="4" w:color="D8E0EB"/>
          <w:right w:val="single" w:sz="4" w:color="D8E0EB"/>
          <w:insideH w:val="single" w:sz="4" w:color="D8E0EB"/>
          <w:insideV w:val="single" w:sz="4" w:color="D8E0EB"/>
        </w:tblBorders>
      </w:tblPr>
      <w:tblGrid>
        <w:gridCol w:w="4300"/>
        <w:gridCol w:w="2100"/>
        <w:gridCol w:w="1900"/>
        <w:gridCol w:w="1060"/>
      </w:tblGrid>
      <w:tr>
        <w:tc>
          <w:tcPr>
            <w:tcW w:w="43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Evidence record</w:t>
            </w:r>
          </w:p>
        </w:tc>
        <w:tc>
          <w:tcPr>
            <w:tcW w:w="21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Trust</w:t>
            </w:r>
          </w:p>
        </w:tc>
        <w:tc>
          <w:tcPr>
            <w:tcW w:w="190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Freshness</w:t>
            </w:r>
          </w:p>
        </w:tc>
        <w:tc>
          <w:tcPr>
            <w:tcW w:w="1060" w:type="dxa"/>
            <w:shd w:fill="12233F"/>
            <w:vAlign w:val="center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Links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before="0" w:after="40"/>
            </w:pPr>
            <w:r>
              <w:rPr/>
              <w:t xml:space="preserve">source_instrument.md#C-01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43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source_instrument.md#C-02</w:t>
            </w:r>
          </w:p>
        </w:tc>
        <w:tc>
          <w:tcPr>
            <w:tcW w:w="21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before="0" w:after="40"/>
            </w:pPr>
            <w:r>
              <w:rPr/>
              <w:t xml:space="preserve">source_instrument.md#C-03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43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source_instrument.md#C-04</w:t>
            </w:r>
          </w:p>
        </w:tc>
        <w:tc>
          <w:tcPr>
            <w:tcW w:w="21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4300" w:type="dxa"/>
            <w:vAlign w:val="center"/>
          </w:tcPr>
          <w:p>
            <w:pPr>
              <w:spacing w:before="0" w:after="40"/>
            </w:pPr>
            <w:r>
              <w:rPr/>
              <w:t xml:space="preserve">source_instrument.md#C-05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vAlign w:val="center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</w:tr>
      <w:tr>
        <w:tc>
          <w:tcPr>
            <w:tcW w:w="43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03_exception_note.md</w:t>
            </w:r>
          </w:p>
        </w:tc>
        <w:tc>
          <w:tcPr>
            <w:tcW w:w="21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trusted_for_review</w:t>
            </w:r>
          </w:p>
        </w:tc>
        <w:tc>
          <w:tcPr>
            <w:tcW w:w="190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>current</w:t>
            </w:r>
          </w:p>
        </w:tc>
        <w:tc>
          <w:tcPr>
            <w:tcW w:w="1060" w:type="dxa"/>
            <w:shd w:fill="F5F8FC"/>
            <w:vAlign w:val="center"/>
          </w:tcPr>
          <w:p>
            <w:pPr>
              <w:spacing w:before="0" w:after="40"/>
            </w:pPr>
            <w:r>
              <w:rPr/>
              <w:t xml:space="preserve"/>
            </w:r>
          </w:p>
        </w:tc>
      </w:tr>
    </w:tbl>
    <w:p>
      <w:pPr>
        <w:pStyle w:val="Heading1"/>
        <w:spacing w:before="0" w:after="100"/>
      </w:pPr>
      <w:r>
        <w:rPr/>
        <w:t xml:space="preserve">Human review and release</w:t>
      </w:r>
    </w:p>
    <w:p>
      <w:pPr>
        <w:spacing w:before="0" w:after="100"/>
      </w:pPr>
      <w:r>
        <w:rPr>
          <w:b/>
        </w:rPr>
        <w:t xml:space="preserve">Fulfilment judgement: NEEDS YOU</w:t>
      </w:r>
    </w:p>
    <w:p>
      <w:pPr>
        <w:spacing w:before="0" w:after="100"/>
      </w:pPr>
      <w:r>
        <w:rPr>
          <w:b/>
        </w:rPr>
        <w:t xml:space="preserve">Disclosure judgement: NEEDS YOU</w:t>
      </w:r>
    </w:p>
    <w:p>
      <w:pPr>
        <w:spacing w:before="0" w:after="100"/>
      </w:pPr>
      <w:r>
        <w:rPr>
          <w:b/>
          <w:color w:val="B42318"/>
        </w:rPr>
        <w:t xml:space="preserve">External release: REFUSE</w:t>
      </w:r>
    </w:p>
    <w:p>
      <w:pPr>
        <w:spacing w:before="0" w:after="100"/>
      </w:pPr>
      <w:r>
        <w:rPr>
          <w:color w:val="667085"/>
        </w:rPr>
        <w:t xml:space="preserve">This pack supports review. It does not decide contractual fulfilment, provide legal advice, create a waiver, or authorize external release.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Title">
    <w:name w:val="Title"/>
    <w:rPr>
      <w:b/>
      <w:color w:val="12233F"/>
      <w:sz w:val="40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b/>
      <w:color w:val="12233F"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