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# Metsi Advisory working document</w:t>
      </w:r>
    </w:p>
    <w:p>
      <w:pPr>
        <w:pStyle w:val="Subtitle"/>
        <w:spacing w:after="240"/>
      </w:pPr>
      <w:r>
        <w:t>Technically edited clean copy. Human approval required.</w:t>
      </w:r>
    </w:p>
    <w:p>
      <w:pPr>
        <w:spacing w:after="160"/>
      </w:pPr>
      <w:r>
        <w:t>The source document is a 1,700-word operational review drafted by multiple contributors.</w:t>
      </w:r>
    </w:p>
    <w:p>
      <w:pPr>
        <w:spacing w:after="160"/>
      </w:pPr>
      <w:r>
        <w:t>The report refers to the programme as the 'Blue River Programme' and 'BRP'; both are approved terms.</w:t>
      </w:r>
    </w:p>
    <w:p>
      <w:pPr>
        <w:spacing w:after="160"/>
      </w:pPr>
      <w:r>
        <w:t>The recorded revenue figure is R18.4 million and must not be altered.</w:t>
      </w:r>
    </w:p>
    <w:p>
      <w:pPr>
        <w:spacing w:after="160"/>
      </w:pPr>
      <w:r>
        <w:t>The chairperson's quoted statement must remain verbatim.</w:t>
      </w:r>
    </w:p>
    <w:p>
      <w:pPr>
        <w:spacing w:after="160"/>
      </w:pPr>
      <w:r>
        <w:t>Several headings use inconsistent capitalisation and numbering formats.</w:t>
      </w:r>
    </w:p>
    <w:p>
      <w:pPr>
        <w:spacing w:after="160"/>
      </w:pPr>
      <w:r>
        <w:t>## Draft section</w:t>
      </w:r>
    </w:p>
    <w:p>
      <w:pPr>
        <w:spacing w:after="160"/>
      </w:pPr>
      <w:r>
        <w:t>The programme team has completed its review for the current quarter. The results were discussed across the working group; however, the wording and heading structure remain inconsistent. This paragraph serves as intentionally rough source copy for the controlled professional editing, localisation, and publication run.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149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