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Studio Publish Professional Customer Run</w:t>
      </w:r>
    </w:p>
    <w:p>
      <w:pPr>
        <w:pStyle w:val="Subtitle"/>
      </w:pPr>
      <w:r>
        <w:t>technical_document | Professional customer reviewer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English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Institute for Applied Learning working document</w:t>
      </w:r>
    </w:p>
    <w:p>
      <w:pPr>
        <w:spacing w:after="140"/>
      </w:pPr>
      <w:r>
        <w:t>The content has already passed substantive approval; the task is controlled formatting and publication preparation.</w:t>
      </w:r>
    </w:p>
    <w:p>
      <w:pPr>
        <w:spacing w:after="140"/>
      </w:pPr>
      <w:r>
        <w:t>Approved title: Evidence Before Automation.</w:t>
      </w:r>
    </w:p>
    <w:p>
      <w:pPr>
        <w:spacing w:after="140"/>
      </w:pPr>
      <w:r>
        <w:t>The author list contains four named authors in the supplied order.</w:t>
      </w:r>
    </w:p>
    <w:p>
      <w:pPr>
        <w:spacing w:after="140"/>
      </w:pPr>
      <w:r>
        <w:t>The DOI placeholder must remain visibly marked as pending.</w:t>
      </w:r>
    </w:p>
    <w:p>
      <w:pPr>
        <w:spacing w:after="140"/>
      </w:pPr>
      <w:r>
        <w:t>No external publication is authorised by this request.</w:t>
      </w:r>
    </w:p>
    <w:p>
      <w:pPr>
        <w:spacing w:after="140"/>
      </w:pPr>
      <w:r>
        <w:t>## Draft section</w:t>
      </w:r>
    </w:p>
    <w:p>
      <w:pPr>
        <w:spacing w:after="140"/>
      </w:pPr>
      <w:r>
        <w:t>The programme team has completed its review for the current quarter. Results were discussed across the working group; however, the wording and heading structure remain inconsistent. This paragraph serves as intentionally rough source copy for the controlled professional editing, localisation, and publication run.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