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Narrative Justification — Turn this messy reporting folder into a claim-to-evidence pack with provenance,</w:t>
      </w:r>
    </w:p>
    <w:p/>
    <w:p>
      <w:pPr>
        <w:pStyle w:val="Heading2"/>
      </w:pPr>
      <w:r>
        <w:t>Overview</w:t>
      </w:r>
    </w:p>
    <w:p>
      <w:r>
        <w:t>This narrative summarizes progress against KPIs for the reporting period **Not supplied by customer to Not supplied by customer**.</w:t>
      </w:r>
    </w:p>
    <w:p/>
    <w:p>
      <w:pPr>
        <w:pStyle w:val="Heading2"/>
      </w:pPr>
      <w:r>
        <w:t>Results against KPIs</w:t>
      </w:r>
    </w:p>
    <w:p>
      <w:pPr>
        <w:pStyle w:val="Heading3"/>
      </w:pPr>
      <w:r>
        <w:t>1. Evidence request and source materials organized</w:t>
      </w:r>
    </w:p>
    <w:p>
      <w:pPr>
        <w:pStyle w:val="ListBullet"/>
      </w:pPr>
      <w:r>
        <w:t>Target: Complete evidence pack; Actual: Candidate evidence received</w:t>
      </w:r>
    </w:p>
    <w:p>
      <w:pPr>
        <w:pStyle w:val="ListBullet"/>
      </w:pPr>
      <w:r>
        <w:t>Measurement: Email request, listed attachments, and source notes</w:t>
      </w:r>
    </w:p>
    <w:p>
      <w:pPr>
        <w:pStyle w:val="ListBullet"/>
      </w:pPr>
      <w:r>
        <w:t>Evidence summary: No source-bound evidence is authorized for this KPI; candidate overlap, if any, remains unverified.</w:t>
      </w:r>
    </w:p>
    <w:p>
      <w:pPr>
        <w:pStyle w:val="ListBullet"/>
      </w:pPr>
      <w:r>
        <w:t>Key sources:</w:t>
      </w:r>
    </w:p>
    <w:p/>
    <w:p>
      <w:pPr>
        <w:pStyle w:val="Heading2"/>
      </w:pPr>
      <w:r>
        <w:t>Data integrity &amp; audit trail</w:t>
      </w:r>
    </w:p>
    <w:p>
      <w:r>
        <w:t>All referenced sources are copied into `03_SOURCES/` with filenames preserved. The evidence table links each KPI to source filenames.</w:t>
      </w:r>
    </w:p>
    <w:p/>
    <w:p>
      <w:pPr>
        <w:pStyle w:val="Heading2"/>
      </w:pPr>
      <w:r>
        <w:t>Risks / flags</w:t>
      </w:r>
    </w:p>
    <w:p>
      <w:pPr>
        <w:pStyle w:val="ListBullet"/>
      </w:pPr>
      <w:r>
        <w:t>Missing/weak evidence for KPI: Evidence request and source materials organized</w:t>
      </w:r>
    </w:p>
    <w:p>
      <w:pPr>
        <w:pStyle w:val="ListBullet"/>
      </w:pPr>
      <w:r>
        <w:t>Known gap: Original route reason: Explicit Professional Evidence Portfolio route</w:t>
      </w:r>
    </w:p>
    <w:p>
      <w:pPr>
        <w:pStyle w:val="ListBullet"/>
      </w:pPr>
      <w:r>
        <w:t>Known gap: Original evidence extract: Claim C1 says 14 community workshops were delivered.</w:t>
      </w:r>
    </w:p>
    <w:p>
      <w:r>
        <w:t>Attendance sheets support 12 workshops.</w:t>
      </w:r>
    </w:p>
    <w:p>
      <w:r>
        <w:t>Two additional workshops are mentioned only in an email summary.</w:t>
      </w:r>
    </w:p>
    <w:p>
      <w:r>
        <w:t>Invoice INV-118 covers venue costs for four workshops.</w:t>
      </w:r>
    </w:p>
    <w:p>
      <w:r>
        <w:t>Three photographs lack dates or event identifiers.</w:t>
      </w:r>
    </w:p>
    <w:p>
      <w:pPr>
        <w:pStyle w:val="ListBullet"/>
      </w:pPr>
      <w:r>
        <w:t>Known gap: Reporting period was not supplied by the customer and remains a human intake requirement before dated donor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