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**Donor Funding Report: Health Outreach**</w:t>
      </w:r>
    </w:p>
    <w:p/>
    <w:p>
      <w:r>
        <w:t>**Overview**</w:t>
      </w:r>
    </w:p>
    <w:p/>
    <w:p>
      <w:r>
        <w:t>The Health Outreach project aims to provide essential healthcare services to underserved communities. This report summarizes the key performance indicators (KPIs) achieved during the reporting period from October 1st, 2025, to December 31st, 2025.</w:t>
      </w:r>
    </w:p>
    <w:p/>
    <w:p>
      <w:r>
        <w:t>**Results against KPIs**</w:t>
      </w:r>
    </w:p>
    <w:p/>
    <w:p>
      <w:r>
        <w:t>• **Clinics supported**: The actual number of clinics supported was 11, which is below the target of 12. While facility support logs and signed checklists indicate that five clinics received support during this period, it is unclear if these clinics meet the target criteria due to limited information on the specific checklist items verified or reviewed.</w:t>
      </w:r>
    </w:p>
    <w:p>
      <w:r>
        <w:t>• **Households visited**: The actual number of households visited was 1420, which falls short of the target of 1500. Field visit forms and supervisor summaries provide a comprehensive record of household interactions, but there may be instances where households were visited without formal documentation.</w:t>
      </w:r>
    </w:p>
    <w:p/>
    <w:p>
      <w:r>
        <w:t>**Data Integrity &amp; Audit Trail**</w:t>
      </w:r>
    </w:p>
    <w:p/>
    <w:p>
      <w:r>
        <w:t>The data used to calculate KPIs is stored in separate files (kpi_sheet.csv, facility_support_checklists.docx, field_visit_forms.csv) and can be verified through regular audits. However, it is essential to note that the evidence for the "Clinics supported" KPI is limited, as only a sample of supported clinics is provided.</w:t>
      </w:r>
    </w:p>
    <w:p/>
    <w:p>
      <w:r>
        <w:t>**Risks/Flags**</w:t>
      </w:r>
    </w:p>
    <w:p/>
    <w:p>
      <w:r>
        <w:t>A known gap in data exists for November, with two supervisor summaries missing. This may impact the accuracy of the household visit count and should be addressed through additional documentation or reconciliation efforts.</w:t>
      </w:r>
    </w:p>
    <w:p/>
    <w:p>
      <w:r>
        <w:t>Please note that while every effort has been made to ensure the accuracy of this report, further review and verification by auditors are recommended to confirm the validity of the evidence presented.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