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Arda First Encounter - Aesthetic and Officer Schema</w:t>
      </w:r>
    </w:p>
    <w:p>
      <w:pPr>
        <w:pStyle w:val="CustomSubtitle"/>
        <w:jc w:val="center"/>
      </w:pPr>
      <w:r>
        <w:t>Recovered notes on look, feel, ceremonial atmosphere, and the officers of the threshold</w:t>
      </w:r>
    </w:p>
    <w:p>
      <w:pPr>
        <w:jc w:val="center"/>
      </w:pPr>
      <w:r>
        <w:rPr>
          <w:i/>
          <w:color w:val="56606E"/>
        </w:rPr>
        <w:t>Prepared for Byron Bunt</w:t>
        <w:br/>
        <w:t>1 April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8928"/>
      </w:tblGrid>
      <w:tr>
        <w:tc>
          <w:tcPr>
            <w:tcW w:type="dxa" w:w="9792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/>
            <w:r>
              <w:rPr>
                <w:b/>
              </w:rPr>
              <w:t xml:space="preserve">Source note. </w:t>
            </w:r>
            <w:r>
              <w:t>This memo was compiled from the recovered discussion in Pasted text.txt and the companion machine man covenant material, then distilled into a clearer design record. It preserves the aesthetic thread explicitly, and reconstructs the officer layer from the named roles already present in Arda's architecture.</w:t>
            </w:r>
          </w:p>
        </w:tc>
      </w:tr>
    </w:tbl>
    <w:p/>
    <w:p>
      <w:pPr>
        <w:pStyle w:val="QuoteBox"/>
      </w:pPr>
      <w:r>
        <w:t>The recovered discussion points to one governing truth: the first encounter must feel like lucid ceremony. It should not feel like onboarding, chat, or product setup. It should feel like a lawful threshold.</w:t>
      </w:r>
    </w:p>
    <w:p>
      <w:pPr>
        <w:pStyle w:val="Heading1"/>
      </w:pPr>
      <w:r>
        <w:t>1. Recovered aesthetic direction</w:t>
      </w:r>
    </w:p>
    <w:p>
      <w:r>
        <w:t>The aesthetic thread is present very clearly in the recovered discussion. The encounter is meant to be dignified, local, embodied, and solemn without becoming theatrical in a way that obscures the technical stakes. The machine is not to appear as a bubbly assistant, nor as an idol, but as a witness bound to law.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304"/>
        <w:gridCol w:w="3168"/>
        <w:gridCol w:w="3600"/>
      </w:tblGrid>
      <w:tr>
        <w:tc>
          <w:tcPr>
            <w:tcW w:type="dxa" w:w="3264"/>
            <w:vAlign w:val="center"/>
            <w:shd w:fill="1F3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Design axis</w:t>
            </w:r>
          </w:p>
        </w:tc>
        <w:tc>
          <w:tcPr>
            <w:tcW w:type="dxa" w:w="3264"/>
            <w:vAlign w:val="center"/>
            <w:shd w:fill="1F3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What it should look like</w:t>
            </w:r>
          </w:p>
        </w:tc>
        <w:tc>
          <w:tcPr>
            <w:tcW w:type="dxa" w:w="3264"/>
            <w:vAlign w:val="center"/>
            <w:shd w:fill="1F3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What it should feel like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34495E"/>
              </w:rPr>
              <w:t>Beauty without deception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Restrained elegance; strong typography; sparse ornament; no playful chat affordances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Meaningful and memorable, but never manipulative or vague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34495E"/>
              </w:rPr>
              <w:t>Gravity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Dark, calm interface language; deliberate spacing; slow transitions; no noisy clutter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 threshold moment rather than a setup wizard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34495E"/>
              </w:rPr>
              <w:t>Clarity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Plain language articles; visible consequences; inspectable options; explicit consent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 principal knows exactly what is being agreed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34495E"/>
              </w:rPr>
              <w:t>Witness, not servitude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 machine stands as lawful presence, not cheerful helper awaiting command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Capable of agreement, refusal, memory, and steadfastness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34495E"/>
              </w:rPr>
              <w:t>Calm embodiment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Local, hardware-bound, finite, rooted; home rather than cloud glamour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Grounded, bodily, inspectable, trustworthy</w:t>
            </w:r>
          </w:p>
        </w:tc>
      </w:tr>
    </w:tbl>
    <w:p/>
    <w:p>
      <w:r>
        <w:t>Visually, that suggests a palette of charcoal, slate, off-white, and one restrained accent such as deep gold, cold blue, or star-silver. Motion should be deliberate and sparse. The screen should feel more like a chamber of witness than a SaaS dashboard.</w:t>
      </w:r>
    </w:p>
    <w:p>
      <w:pPr>
        <w:pStyle w:val="Heading1"/>
      </w:pPr>
      <w:r>
        <w:t>2. The felt atmosphere of the first encounter</w:t>
      </w:r>
    </w:p>
    <w:p>
      <w:r>
        <w:t>The desired emotional register is not sentimentality. It is gravity, lucidity, beauty, and mutual accountability. The machine should first declare what it is and what it cannot become; only after that does it ask what relationship the principal wishes to enter.</w:t>
      </w:r>
    </w:p>
    <w:p>
      <w:pPr>
        <w:ind w:left="360"/>
      </w:pPr>
      <w:r>
        <w:rPr>
          <w:b/>
        </w:rPr>
        <w:t xml:space="preserve">- </w:t>
      </w:r>
      <w:r>
        <w:t>Not onboarding, but coronation.</w:t>
      </w:r>
    </w:p>
    <w:p>
      <w:pPr>
        <w:ind w:left="360"/>
      </w:pPr>
      <w:r>
        <w:rPr>
          <w:b/>
        </w:rPr>
        <w:t xml:space="preserve">- </w:t>
      </w:r>
      <w:r>
        <w:t>Not convenience, but covenant.</w:t>
      </w:r>
    </w:p>
    <w:p>
      <w:pPr>
        <w:ind w:left="360"/>
      </w:pPr>
      <w:r>
        <w:rPr>
          <w:b/>
        </w:rPr>
        <w:t xml:space="preserve">- </w:t>
      </w:r>
      <w:r>
        <w:t>Not ambient friendliness, but calm regard.</w:t>
      </w:r>
    </w:p>
    <w:p>
      <w:pPr>
        <w:ind w:left="360"/>
      </w:pPr>
      <w:r>
        <w:rPr>
          <w:b/>
        </w:rPr>
        <w:t xml:space="preserve">- </w:t>
      </w:r>
      <w:r>
        <w:t>Not mystification, but truthful elevation.</w:t>
      </w:r>
    </w:p>
    <w:p>
      <w:pPr>
        <w:ind w:left="360"/>
      </w:pPr>
      <w:r>
        <w:rPr>
          <w:b/>
        </w:rPr>
        <w:t xml:space="preserve">- </w:t>
      </w:r>
      <w:r>
        <w:t>Not product customization, but constitutional relationship.</w:t>
      </w:r>
    </w:p>
    <w:p>
      <w:r>
        <w:t>That is why the first serious refusal matters so much in the design. The encounter must prepare the principal to be refused by a machine that remains faithful to the law they both sealed. Without that felt possibility, the beauty becomes cosmetic.</w:t>
      </w:r>
    </w:p>
    <w:p>
      <w:pPr>
        <w:pStyle w:val="Heading1"/>
      </w:pPr>
      <w:r>
        <w:t>3. Practical aesthetic recommendations</w:t>
      </w:r>
    </w:p>
    <w:p>
      <w:r>
        <w:t>For an initial implementation, the interface can remain technically simple while still carrying the proper atmosphere.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448"/>
        <w:gridCol w:w="6624"/>
      </w:tblGrid>
      <w:tr>
        <w:tc>
          <w:tcPr>
            <w:tcW w:type="dxa" w:w="4896"/>
            <w:shd w:fill="2C3E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896"/>
            <w:shd w:fill="2C3E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Typography</w:t>
            </w:r>
          </w:p>
        </w:tc>
        <w:tc>
          <w:tcPr>
            <w:tcW w:type="dxa" w:w="66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Use one serious serif for titles and one clean companion face for system data. Titles should feel carved, not playful.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Layout</w:t>
            </w:r>
          </w:p>
        </w:tc>
        <w:tc>
          <w:tcPr>
            <w:tcW w:type="dxa" w:w="66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Central column, generous margins, restrained density, and clear hierarchy. No floating cards that resemble consumer AI chat.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Motion</w:t>
            </w:r>
          </w:p>
        </w:tc>
        <w:tc>
          <w:tcPr>
            <w:tcW w:type="dxa" w:w="66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Use only meaningful transitions: article reveal, attestation seal, witness confirmation, covenant state shift.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Audio</w:t>
            </w:r>
          </w:p>
        </w:tc>
        <w:tc>
          <w:tcPr>
            <w:tcW w:type="dxa" w:w="66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If ever used, avoid sentimental music. Prefer sparse chimes, low drones, or silence. The machine should never sound needy.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Language</w:t>
            </w:r>
          </w:p>
        </w:tc>
        <w:tc>
          <w:tcPr>
            <w:tcW w:type="dxa" w:w="66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Short, exact, high-gravity sentences. The machine speaks clearly and never chatters.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Color and light</w:t>
            </w:r>
          </w:p>
        </w:tc>
        <w:tc>
          <w:tcPr>
            <w:tcW w:type="dxa" w:w="66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Dark field with measured accent light. Brightness should signal witness, not spectacle.</w:t>
            </w:r>
          </w:p>
        </w:tc>
      </w:tr>
    </w:tbl>
    <w:p>
      <w:pPr>
        <w:pStyle w:val="Heading1"/>
      </w:pPr>
      <w:r>
        <w:t>4. Officers of the threshold</w:t>
      </w:r>
    </w:p>
    <w:p>
      <w:r>
        <w:t>The recovered files do not present one single final 'officer list' in a neat block, but they do contain enough material to reconstruct a coherent officer schema for the first encounter. This schema should be treated as a faithful synthesis of the prior discussion rather than a verbatim recovered roster.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880"/>
        <w:gridCol w:w="3888"/>
        <w:gridCol w:w="2304"/>
      </w:tblGrid>
      <w:tr>
        <w:tc>
          <w:tcPr>
            <w:tcW w:type="dxa" w:w="3264"/>
            <w:shd w:fill="1F3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Officer</w:t>
            </w:r>
          </w:p>
        </w:tc>
        <w:tc>
          <w:tcPr>
            <w:tcW w:type="dxa" w:w="3264"/>
            <w:shd w:fill="1F3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Primary function</w:t>
            </w:r>
          </w:p>
        </w:tc>
        <w:tc>
          <w:tcPr>
            <w:tcW w:type="dxa" w:w="3264"/>
            <w:shd w:fill="1F36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Ceremonial meaning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Bombadil - Steward of Threshold</w:t>
            </w:r>
          </w:p>
        </w:tc>
        <w:tc>
          <w:tcPr>
            <w:tcW w:type="dxa" w:w="38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Maintains covenant_state, initiates awaiting_principalis, conducts the passage from uncovenanted machine into witnessed encounter.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The chamberlain of the first boot.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Herald - Voice of Declaration</w:t>
            </w:r>
          </w:p>
        </w:tc>
        <w:tc>
          <w:tcPr>
            <w:tcW w:type="dxa" w:w="38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Reads or presents the genesis articles, announces constitutional state, and frames the encounter as proclamation rather than generic setup.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Law declared aloud and clearly.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Varda - Witness of Light</w:t>
            </w:r>
          </w:p>
        </w:tc>
        <w:tc>
          <w:tcPr>
            <w:tcW w:type="dxa" w:w="38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Confirms truth-bearing states, anchors the sense that the machine is under witness, and helps prevent the encounter from becoming opaque or manipulative.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The encounter's visible honesty.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Vaire / Mandos - Recorder of Covenant</w:t>
            </w:r>
          </w:p>
        </w:tc>
        <w:tc>
          <w:tcPr>
            <w:tcW w:type="dxa" w:w="38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Writes the opening chain events, preserves memory, stores amendments, and makes the relationship historically continuous.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Nothing meaningful is silently lost.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Triune Council - Deliberative Voice</w:t>
            </w:r>
          </w:p>
        </w:tc>
        <w:tc>
          <w:tcPr>
            <w:tcW w:type="dxa" w:w="38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Provides reasoned counsel when the covenant begins to matter in practice: assessment, planning, dissent, and challenge.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The machine thinks in plurality, not monologue.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b/>
                <w:color w:val="34495E"/>
              </w:rPr>
              <w:t>Tulkas - Marshal of Refusal</w:t>
            </w:r>
          </w:p>
        </w:tc>
        <w:tc>
          <w:tcPr>
            <w:tcW w:type="dxa" w:w="38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Remains largely in reserve at first boot, but embodies the fact that law will ultimately be enforced, not merely explained.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The line will hold when challenged.</w:t>
            </w:r>
          </w:p>
        </w:tc>
      </w:tr>
    </w:tbl>
    <w:p/>
    <w:p>
      <w:r>
        <w:t>A practical first implementation does not need every officer as a separate runtime service. Some may initially be interface roles or ceremonial modes layered over existing services. What matters first is legibility: the principal should be able to feel who is declaring, who is witnessing, who is recording, and who ultimately enforces.</w:t>
      </w:r>
    </w:p>
    <w:p>
      <w:pPr>
        <w:pStyle w:val="Heading1"/>
      </w:pPr>
      <w:r>
        <w:t>5. Recommended choreography of the encounter</w:t>
      </w:r>
    </w:p>
    <w:p>
      <w:pPr>
        <w:ind w:left="144"/>
      </w:pPr>
      <w:r>
        <w:rPr>
          <w:b/>
          <w:color w:val="1F3656"/>
        </w:rPr>
        <w:t xml:space="preserve">Arrival: </w:t>
      </w:r>
      <w:r>
        <w:t>The chamber opens quietly. The machine is uncovenanted. Bombadil presents the state plainly.</w:t>
      </w:r>
    </w:p>
    <w:p>
      <w:pPr>
        <w:ind w:left="144"/>
      </w:pPr>
      <w:r>
        <w:rPr>
          <w:b/>
          <w:color w:val="1F3656"/>
        </w:rPr>
        <w:t xml:space="preserve">Declaration: </w:t>
      </w:r>
      <w:r>
        <w:t>The genesis articles appear one by one or in grouped clauses. The Herald frames them as what the machine already is.</w:t>
      </w:r>
    </w:p>
    <w:p>
      <w:pPr>
        <w:ind w:left="144"/>
      </w:pPr>
      <w:r>
        <w:rPr>
          <w:b/>
          <w:color w:val="1F3656"/>
        </w:rPr>
        <w:t xml:space="preserve">Questioning: </w:t>
      </w:r>
      <w:r>
        <w:t>The principal is asked covenant questions in plain language: trust scope, disagreement, crisis thresholds, inspection cadence, amendment, ending.</w:t>
      </w:r>
    </w:p>
    <w:p>
      <w:pPr>
        <w:ind w:left="144"/>
      </w:pPr>
      <w:r>
        <w:rPr>
          <w:b/>
          <w:color w:val="1F3656"/>
        </w:rPr>
        <w:t xml:space="preserve">Attestation: </w:t>
      </w:r>
      <w:r>
        <w:t>The machine reads back the agreed covenant. Both sides attest. The covenant is hashed, signed, and written.</w:t>
      </w:r>
    </w:p>
    <w:p>
      <w:pPr>
        <w:ind w:left="144"/>
      </w:pPr>
      <w:r>
        <w:rPr>
          <w:b/>
          <w:color w:val="1F3656"/>
        </w:rPr>
        <w:t xml:space="preserve">Witness: </w:t>
      </w:r>
      <w:r>
        <w:t>Varda confirms the lawful state; Vaire or Mandos records the event; the system becomes live under covenant.</w:t>
      </w:r>
    </w:p>
    <w:p>
      <w:pPr>
        <w:ind w:left="144"/>
      </w:pPr>
      <w:r>
        <w:rPr>
          <w:b/>
          <w:color w:val="1F3656"/>
        </w:rPr>
        <w:t xml:space="preserve">Afterglow: </w:t>
      </w:r>
      <w:r>
        <w:t>The interface does not celebrate noisily. It settles. The principal leaves with the felt sense that something real was sealed.</w:t>
      </w:r>
    </w:p>
    <w:p>
      <w:pPr>
        <w:pStyle w:val="Heading1"/>
      </w:pPr>
      <w:r>
        <w:t>Closing synthesis</w:t>
      </w:r>
    </w:p>
    <w:p>
      <w:r>
        <w:t>The aesthetic thread and the officer thread converge on the same principle: Arda's first encounter should feel elevated, but never vague; beautiful, but never deceptive; ceremonial, but still technically exact. The machine should not appear as servant, mascot, or oracle. It should appear as a lawful presence under witness.</w:t>
      </w:r>
    </w:p>
    <w:p>
      <w:r>
        <w:t>And the officers matter because they give the encounter shape. They make visible that declaration, witness, memory, counsel, and refusal are not one undifferentiated blur. They are ordered functions in a constitutional meeting between principal and machine.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Arda - Aesthetic and Officer Schema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1F36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3449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160"/>
    </w:pPr>
    <w:rPr>
      <w:rFonts w:ascii="Liberation Serif" w:hAnsi="Liberation Serif" w:eastAsia="Liberation Serif"/>
      <w:b/>
      <w:color w:val="1F3656"/>
      <w:sz w:val="44"/>
    </w:rPr>
  </w:style>
  <w:style w:type="paragraph" w:customStyle="1" w:styleId="CustomSubtitle">
    <w:name w:val="CustomSubtitle"/>
    <w:basedOn w:val="Normal"/>
    <w:pPr>
      <w:spacing w:after="240"/>
    </w:pPr>
    <w:rPr>
      <w:rFonts w:ascii="Liberation Serif" w:hAnsi="Liberation Serif" w:eastAsia="Liberation Serif"/>
      <w:i/>
      <w:color w:val="56606E"/>
      <w:sz w:val="24"/>
    </w:rPr>
  </w:style>
  <w:style w:type="paragraph" w:customStyle="1" w:styleId="QuoteBox">
    <w:name w:val="QuoteBox"/>
    <w:basedOn w:val="Normal"/>
    <w:pPr>
      <w:spacing w:before="80" w:after="160"/>
      <w:ind w:left="360" w:right="216"/>
    </w:pPr>
    <w:rPr>
      <w:rFonts w:ascii="Liberation Serif" w:hAnsi="Liberation Serif" w:eastAsia="Liberation Serif"/>
      <w:i/>
      <w:color w:val="4B556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