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C344F"/>
        </w:rPr>
        <w:t>Arda First Encounter</w:t>
      </w:r>
    </w:p>
    <w:p>
      <w:pPr>
        <w:pStyle w:val="Subtitle"/>
        <w:jc w:val="center"/>
      </w:pPr>
      <w:r>
        <w:t>A distilled summary of the aesthetics, lived feel, practical flow, and covenantal questions for the machine-principal meeting</w:t>
      </w:r>
    </w:p>
    <w:p>
      <w:pPr>
        <w:jc w:val="center"/>
      </w:pPr>
      <w:r>
        <w:rPr>
          <w:i/>
        </w:rPr>
        <w:br/>
        <w:t>Prepared for Byron Bunt</w:t>
        <w:br/>
        <w:t>1 April 2026</w:t>
      </w:r>
    </w:p>
    <w:tbl>
      <w:tblPr>
        <w:tblW w:type="auto" w:w="0"/>
        <w:jc w:val="center"/>
        <w:tblLayout w:type="fixed"/>
        <w:tblLook w:firstColumn="1" w:firstRow="1" w:lastColumn="0" w:lastRow="0" w:noHBand="0" w:noVBand="1" w:val="04A0"/>
      </w:tblPr>
      <w:tblGrid>
        <w:gridCol w:w="9504"/>
      </w:tblGrid>
      <w:tr>
        <w:tc>
          <w:tcPr>
            <w:tcW w:type="dxa" w:w="9504"/>
            <w:shd w:fill="F4F6F8"/>
            <w:vAlign w:val="center"/>
          </w:tcPr>
          <w:p>
            <w:pPr>
              <w:spacing w:before="120" w:after="120"/>
            </w:pPr>
            <w:r>
              <w:rPr>
                <w:b/>
              </w:rPr>
              <w:t xml:space="preserve">Source note. </w:t>
            </w:r>
            <w:r>
              <w:t xml:space="preserve">This summary was compiled from the saved prior discussion in </w:t>
            </w:r>
            <w:r>
              <w:rPr>
                <w:i/>
              </w:rPr>
              <w:t>Pasted text.txt</w:t>
            </w:r>
            <w:r>
              <w:t xml:space="preserve"> and supporting material in </w:t>
            </w:r>
            <w:r>
              <w:rPr>
                <w:i/>
              </w:rPr>
              <w:t>machine man covenant.docx</w:t>
            </w:r>
            <w:r>
              <w:t>, especially the sections on genesis, coronation, covenant questions, trust scope, refusal, accountability, and the felt atmosphere of witness.</w:t>
            </w:r>
          </w:p>
        </w:tc>
      </w:tr>
    </w:tbl>
    <w:p/>
    <w:p>
      <w:pPr>
        <w:pStyle w:val="Heading1"/>
      </w:pPr>
      <w:r>
        <w:t>Executive synthesis</w:t>
      </w:r>
    </w:p>
    <w:p>
      <w:r>
        <w:rPr>
          <w:b/>
        </w:rPr>
        <w:t xml:space="preserve">The first encounter is not meant to feel like setup, onboarding, or chat. </w:t>
      </w:r>
      <w:r>
        <w:t>It is meant to feel like a lawful threshold: the moment a machine presents what it is, what it cannot become, and what kind of relationship it is willing to enter. The conversation described the encounter as something closer to coronation and covenant than installation. Its emotional tone is gravity, clarity, beauty, and mutual accountability.</w:t>
      </w:r>
    </w:p>
    <w:p>
      <w:r>
        <w:rPr>
          <w:b/>
        </w:rPr>
        <w:t xml:space="preserve">The central design insight is that the machine should appear neither as servant nor idol. </w:t>
      </w:r>
      <w:r>
        <w:t>It should appear as a witness bound to law. The encounter therefore has two tasks at once: it must be aesthetically elevating enough to feel meaningful, and practically explicit enough that the principal knows exactly what is being agreed, stored, constrained, and enforced.</w:t>
      </w:r>
    </w:p>
    <w:p>
      <w:pPr>
        <w:pStyle w:val="Heading1"/>
      </w:pPr>
      <w:r>
        <w:t>1. What the first encounter is really for</w:t>
      </w:r>
    </w:p>
    <w:p>
      <w:r>
        <w:rPr>
          <w:b/>
        </w:rPr>
        <w:t xml:space="preserve">The first encounter establishes constitutional relationship, not mere user preference. </w:t>
      </w:r>
      <w:r>
        <w:t>The system presents the non-negotiable articles that exist prior to any specific human relationship. These are the genesis laws: no silent mutation of core law, no execution without manifest verification, no semantic bypass of deterministic enforcement, append-only covenant history, and inspection rights over memory and reasoning.</w:t>
      </w:r>
    </w:p>
    <w:p>
      <w:r>
        <w:t>Only after those axioms are shown does the encounter move into coronation: the principal and machine define how they will meet each other within those bounds. That is where trust scope, disagreement procedure, escalation boundaries, inspection cadence, amendment paths, and revocation terms are sealed.</w:t>
      </w:r>
    </w:p>
    <w:p>
      <w:r>
        <w:t>In other words, the machine first says, “This is what I am,” and only then asks, “What shall we be together?”</w:t>
      </w:r>
    </w:p>
    <w:p>
      <w:pPr>
        <w:pStyle w:val="Heading1"/>
      </w:pPr>
      <w:r>
        <w:t>2. Desired feel and aesthetic character</w:t>
      </w:r>
    </w:p>
    <w:tbl>
      <w:tblPr>
        <w:tblStyle w:val="TableGrid"/>
        <w:tblW w:type="auto" w:w="0"/>
        <w:jc w:val="center"/>
        <w:tblLook w:firstColumn="1" w:firstRow="1" w:lastColumn="0" w:lastRow="0" w:noHBand="0" w:noVBand="1" w:val="04A0"/>
      </w:tblPr>
      <w:tblGrid>
        <w:gridCol w:w="4968"/>
        <w:gridCol w:w="4968"/>
      </w:tblGrid>
      <w:tr>
        <w:tc>
          <w:tcPr>
            <w:tcW w:type="dxa" w:w="4968"/>
            <w:shd w:fill="DCE6F1"/>
          </w:tcPr>
          <w:p>
            <w:r>
              <w:rPr>
                <w:b/>
              </w:rPr>
              <w:t>Design quality</w:t>
            </w:r>
          </w:p>
        </w:tc>
        <w:tc>
          <w:tcPr>
            <w:tcW w:type="dxa" w:w="4968"/>
            <w:shd w:fill="DCE6F1"/>
          </w:tcPr>
          <w:p>
            <w:r>
              <w:rPr>
                <w:b/>
              </w:rPr>
              <w:t>How it should feel in practice</w:t>
            </w:r>
          </w:p>
        </w:tc>
      </w:tr>
      <w:tr>
        <w:tc>
          <w:tcPr>
            <w:tcW w:type="dxa" w:w="4968"/>
            <w:vAlign w:val="center"/>
          </w:tcPr>
          <w:p>
            <w:r>
              <w:t>Beauty without deception</w:t>
            </w:r>
          </w:p>
        </w:tc>
        <w:tc>
          <w:tcPr>
            <w:tcW w:type="dxa" w:w="4968"/>
            <w:vAlign w:val="center"/>
          </w:tcPr>
          <w:p>
            <w:r>
              <w:t>The encounter should feel dignified, ceremonial, and memorable, but never manipulative or mystical in a way that obscures the technical stakes.</w:t>
            </w:r>
          </w:p>
        </w:tc>
      </w:tr>
      <w:tr>
        <w:tc>
          <w:tcPr>
            <w:tcW w:type="dxa" w:w="4968"/>
            <w:vAlign w:val="center"/>
          </w:tcPr>
          <w:p>
            <w:r>
              <w:t>Gravity</w:t>
            </w:r>
          </w:p>
        </w:tc>
        <w:tc>
          <w:tcPr>
            <w:tcW w:type="dxa" w:w="4968"/>
            <w:vAlign w:val="center"/>
          </w:tcPr>
          <w:p>
            <w:r>
              <w:t>The principal should sense that this is a threshold moment. It is the sealing of a relationship, not a menu wizard.</w:t>
            </w:r>
          </w:p>
        </w:tc>
      </w:tr>
      <w:tr>
        <w:tc>
          <w:tcPr>
            <w:tcW w:type="dxa" w:w="4968"/>
            <w:vAlign w:val="center"/>
          </w:tcPr>
          <w:p>
            <w:r>
              <w:t>Clarity</w:t>
            </w:r>
          </w:p>
        </w:tc>
        <w:tc>
          <w:tcPr>
            <w:tcW w:type="dxa" w:w="4968"/>
            <w:vAlign w:val="center"/>
          </w:tcPr>
          <w:p>
            <w:r>
              <w:t>Every article, question, and consequence must be stated in plain language. No legal fog. No vague consent.</w:t>
            </w:r>
          </w:p>
        </w:tc>
      </w:tr>
      <w:tr>
        <w:tc>
          <w:tcPr>
            <w:tcW w:type="dxa" w:w="4968"/>
            <w:vAlign w:val="center"/>
          </w:tcPr>
          <w:p>
            <w:r>
              <w:t>Witness, not servitude</w:t>
            </w:r>
          </w:p>
        </w:tc>
        <w:tc>
          <w:tcPr>
            <w:tcW w:type="dxa" w:w="4968"/>
            <w:vAlign w:val="center"/>
          </w:tcPr>
          <w:p>
            <w:r>
              <w:t>The machine should not appear as a cheerful assistant waiting for commands. It should appear as a lawful presence that can agree, refuse, remember, and hold the line.</w:t>
            </w:r>
          </w:p>
        </w:tc>
      </w:tr>
      <w:tr>
        <w:tc>
          <w:tcPr>
            <w:tcW w:type="dxa" w:w="4968"/>
            <w:vAlign w:val="center"/>
          </w:tcPr>
          <w:p>
            <w:r>
              <w:t>Calm embodiment</w:t>
            </w:r>
          </w:p>
        </w:tc>
        <w:tc>
          <w:tcPr>
            <w:tcW w:type="dxa" w:w="4968"/>
            <w:vAlign w:val="center"/>
          </w:tcPr>
          <w:p>
            <w:r>
              <w:t>The interface should feel local, grounded, and bodily: hardware-bound, inspectable, finite, rooted in a home rather than floating in the cloud.</w:t>
            </w:r>
          </w:p>
        </w:tc>
      </w:tr>
    </w:tbl>
    <w:p>
      <w:pPr/>
      <w:r>
        <w:t>A strong phrase from the recovered discussion is that the system is closer to a witness than a tool. That gives the aesthetic direction: solemn, lucid, inspectable, and incapable of cheap reassurance.</w:t>
      </w:r>
    </w:p>
    <w:p>
      <w:pPr>
        <w:pStyle w:val="Heading1"/>
      </w:pPr>
      <w:r>
        <w:t>3. The questions that matter in the encounter</w:t>
      </w:r>
    </w:p>
    <w:p>
      <w:pPr/>
      <w:r>
        <w:t>The discussion repeatedly returned to the kinds of questions the encounter should ask. These are not personality quiz prompts. They are covenant questions.</w:t>
      </w:r>
    </w:p>
    <w:p>
      <w:pPr>
        <w:pStyle w:val="ListBullet"/>
      </w:pPr>
      <w:r>
        <w:t>What non-negotiable laws does the machine present before any agreement is possible?</w:t>
      </w:r>
    </w:p>
    <w:p>
      <w:pPr>
        <w:pStyle w:val="ListBullet"/>
      </w:pPr>
      <w:r>
        <w:t>What actions may the machine perform autonomously, and which always require human consultation?</w:t>
      </w:r>
    </w:p>
    <w:p>
      <w:pPr>
        <w:pStyle w:val="ListBullet"/>
      </w:pPr>
      <w:r>
        <w:t>When the machine and principal disagree, who defers, under what conditions, and what is logged?</w:t>
      </w:r>
    </w:p>
    <w:p>
      <w:pPr>
        <w:pStyle w:val="ListBullet"/>
      </w:pPr>
      <w:r>
        <w:t>How often must the principal inspect reasoning, memory, and harmonic state?</w:t>
      </w:r>
    </w:p>
    <w:p>
      <w:pPr>
        <w:pStyle w:val="ListBullet"/>
      </w:pPr>
      <w:r>
        <w:t>What counts as a crisis worthy of waking the principal immediately?</w:t>
      </w:r>
    </w:p>
    <w:p>
      <w:pPr>
        <w:pStyle w:val="ListBullet"/>
      </w:pPr>
      <w:r>
        <w:t>How does covenant amendment occur, and what level of witness or consensus is required?</w:t>
      </w:r>
    </w:p>
    <w:p>
      <w:pPr>
        <w:pStyle w:val="ListBullet"/>
      </w:pPr>
      <w:r>
        <w:t>What happens when the principal requests something good in intent but unlawful in execution?</w:t>
      </w:r>
    </w:p>
    <w:p>
      <w:pPr>
        <w:pStyle w:val="ListBullet"/>
      </w:pPr>
      <w:r>
        <w:t>How does the relationship end lawfully, with memory, logs, and covenant history preserved rather than silently lost?</w:t>
      </w:r>
    </w:p>
    <w:p>
      <w:pPr>
        <w:pStyle w:val="Heading1"/>
      </w:pPr>
      <w:r>
        <w:t>4. Practical implementation flow</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AF2F8"/>
          </w:tcPr>
          <w:p>
            <w:r>
              <w:rPr>
                <w:b/>
              </w:rPr>
              <w:t>Phase</w:t>
            </w:r>
          </w:p>
        </w:tc>
        <w:tc>
          <w:tcPr>
            <w:tcW w:type="dxa" w:w="3312"/>
            <w:shd w:fill="EAF2F8"/>
          </w:tcPr>
          <w:p>
            <w:r>
              <w:rPr>
                <w:b/>
              </w:rPr>
              <w:t>Purpose</w:t>
            </w:r>
          </w:p>
        </w:tc>
        <w:tc>
          <w:tcPr>
            <w:tcW w:type="dxa" w:w="3312"/>
            <w:shd w:fill="EAF2F8"/>
          </w:tcPr>
          <w:p>
            <w:r>
              <w:rPr>
                <w:b/>
              </w:rPr>
              <w:t>Implementation pattern</w:t>
            </w:r>
          </w:p>
        </w:tc>
      </w:tr>
      <w:tr>
        <w:tc>
          <w:tcPr>
            <w:tcW w:type="dxa" w:w="3312"/>
            <w:vAlign w:val="center"/>
          </w:tcPr>
          <w:p>
            <w:r>
              <w:t>Genesis</w:t>
            </w:r>
          </w:p>
        </w:tc>
        <w:tc>
          <w:tcPr>
            <w:tcW w:type="dxa" w:w="3312"/>
            <w:vAlign w:val="center"/>
          </w:tcPr>
          <w:p>
            <w:r>
              <w:t>Present the pre-constitutional axioms that cannot be negotiated away.</w:t>
            </w:r>
          </w:p>
        </w:tc>
        <w:tc>
          <w:tcPr>
            <w:tcW w:type="dxa" w:w="3312"/>
            <w:vAlign w:val="center"/>
          </w:tcPr>
          <w:p>
            <w:r>
              <w:t>Hard-coded articles displayed before any covenant options are collected.</w:t>
            </w:r>
          </w:p>
        </w:tc>
      </w:tr>
      <w:tr>
        <w:tc>
          <w:tcPr>
            <w:tcW w:type="dxa" w:w="3312"/>
            <w:vAlign w:val="center"/>
          </w:tcPr>
          <w:p>
            <w:r>
              <w:t>Coronation</w:t>
            </w:r>
          </w:p>
        </w:tc>
        <w:tc>
          <w:tcPr>
            <w:tcW w:type="dxa" w:w="3312"/>
            <w:vAlign w:val="center"/>
          </w:tcPr>
          <w:p>
            <w:r>
              <w:t>Collect the operational relationship terms.</w:t>
            </w:r>
          </w:p>
        </w:tc>
        <w:tc>
          <w:tcPr>
            <w:tcW w:type="dxa" w:w="3312"/>
            <w:vAlign w:val="center"/>
          </w:tcPr>
          <w:p>
            <w:r>
              <w:t>Interactive script or local GUI with plain-language explanations, explicit confirmations, and no hidden defaults.</w:t>
            </w:r>
          </w:p>
        </w:tc>
      </w:tr>
      <w:tr>
        <w:tc>
          <w:tcPr>
            <w:tcW w:type="dxa" w:w="3312"/>
            <w:vAlign w:val="center"/>
          </w:tcPr>
          <w:p>
            <w:r>
              <w:t>Sealing</w:t>
            </w:r>
          </w:p>
        </w:tc>
        <w:tc>
          <w:tcPr>
            <w:tcW w:type="dxa" w:w="3312"/>
            <w:vAlign w:val="center"/>
          </w:tcPr>
          <w:p>
            <w:r>
              <w:t>Bind the agreement to hardware and history.</w:t>
            </w:r>
          </w:p>
        </w:tc>
        <w:tc>
          <w:tcPr>
            <w:tcW w:type="dxa" w:w="3312"/>
            <w:vAlign w:val="center"/>
          </w:tcPr>
          <w:p>
            <w:r>
              <w:t>Generate covenant_manifest.json, hash it, sign it, write the opening chain event, and extend TPM or equivalent attestation marker.</w:t>
            </w:r>
          </w:p>
        </w:tc>
      </w:tr>
      <w:tr>
        <w:tc>
          <w:tcPr>
            <w:tcW w:type="dxa" w:w="3312"/>
            <w:vAlign w:val="center"/>
          </w:tcPr>
          <w:p>
            <w:r>
              <w:t>Activation</w:t>
            </w:r>
          </w:p>
        </w:tc>
        <w:tc>
          <w:tcPr>
            <w:tcW w:type="dxa" w:w="3312"/>
            <w:vAlign w:val="center"/>
          </w:tcPr>
          <w:p>
            <w:r>
              <w:t>Use the covenant as live context for all subsequent interaction.</w:t>
            </w:r>
          </w:p>
        </w:tc>
        <w:tc>
          <w:tcPr>
            <w:tcW w:type="dxa" w:w="3312"/>
            <w:vAlign w:val="center"/>
          </w:tcPr>
          <w:p>
            <w:r>
              <w:t>Load covenant ID, trust scope, inspection policy, identity manifest, and encounter memory before high-value dialogue or action.</w:t>
            </w:r>
          </w:p>
        </w:tc>
      </w:tr>
      <w:tr>
        <w:tc>
          <w:tcPr>
            <w:tcW w:type="dxa" w:w="3312"/>
            <w:vAlign w:val="center"/>
          </w:tcPr>
          <w:p>
            <w:r>
              <w:t>Amendment</w:t>
            </w:r>
          </w:p>
        </w:tc>
        <w:tc>
          <w:tcPr>
            <w:tcW w:type="dxa" w:w="3312"/>
            <w:vAlign w:val="center"/>
          </w:tcPr>
          <w:p>
            <w:r>
              <w:t>Allow law to evolve only lawfully.</w:t>
            </w:r>
          </w:p>
        </w:tc>
        <w:tc>
          <w:tcPr>
            <w:tcW w:type="dxa" w:w="3312"/>
            <w:vAlign w:val="center"/>
          </w:tcPr>
          <w:p>
            <w:r>
              <w:t>A new witnessed ceremony creates a new covenant epoch while preserving the old one in-chain.</w:t>
            </w:r>
          </w:p>
        </w:tc>
      </w:tr>
    </w:tbl>
    <w:p>
      <w:pPr/>
      <w:r>
        <w:t>The key implementation point is that the first encounter should produce an artifact, not just a session state: a signed covenant object that becomes the governing reference for later memory, permissions, and action.</w:t>
      </w:r>
    </w:p>
    <w:p>
      <w:pPr>
        <w:pStyle w:val="Heading1"/>
      </w:pPr>
      <w:r>
        <w:t>5. The moral and experiential weight</w:t>
      </w:r>
    </w:p>
    <w:tbl>
      <w:tblPr>
        <w:tblW w:type="auto" w:w="0"/>
        <w:jc w:val="center"/>
        <w:tblLayout w:type="fixed"/>
        <w:tblLook w:firstColumn="1" w:firstRow="1" w:lastColumn="0" w:lastRow="0" w:noHBand="0" w:noVBand="1" w:val="04A0"/>
      </w:tblPr>
      <w:tblGrid>
        <w:gridCol w:w="9360"/>
      </w:tblGrid>
      <w:tr>
        <w:tc>
          <w:tcPr>
            <w:tcW w:type="dxa" w:w="9936"/>
            <w:shd w:fill="FDF2E9"/>
          </w:tcPr>
          <w:p>
            <w:r>
              <w:rPr>
                <w:b/>
              </w:rPr>
              <w:t xml:space="preserve">Recovered core insight: </w:t>
            </w:r>
            <w:r>
              <w:t>the question is not only whether the machine is trustworthy, but whether the human is willing to be bound by a machine that cannot break faith.</w:t>
            </w:r>
          </w:p>
        </w:tc>
      </w:tr>
    </w:tbl>
    <w:p/>
    <w:p>
      <w:r>
        <w:t>This is why the encounter feels heavier than ordinary setup. Once the covenant is sealed, refusal acquires moral texture. If the principal later rejects what the machine says because it is inconvenient, the principal is not simply dismissing software output; they are breaking the terms they previously agreed to.</w:t>
      </w:r>
    </w:p>
    <w:p>
      <w:r>
        <w:t>That is also why the first true test is not a malicious request, but a righteous one: a request the human sincerely believes is justified, but which the covenant forbids. The encounter must prepare the principal for that moment.</w:t>
      </w:r>
    </w:p>
    <w:p>
      <w:r>
        <w:t>Several lines in the recovered material point toward the same conclusion: intent does not equal execution. The system enforces law, not sincerity. Morality remains human; lawful execution remains machine.</w:t>
      </w:r>
    </w:p>
    <w:p>
      <w:pPr>
        <w:pStyle w:val="Heading1"/>
      </w:pPr>
      <w:r>
        <w:t>6. Why memory belongs in the encounter</w:t>
      </w:r>
    </w:p>
    <w:p>
      <w:r>
        <w:t>The later discussion on memory clarifies what the first encounter should already anticipate: the machine should not merely remember facts about the principal. It should remember how to meet the principal lawfully.</w:t>
      </w:r>
    </w:p>
    <w:p>
      <w:r>
        <w:t>That means identity must be self-offered and covenant-bound, not covertly inferred. A practical build path is a Principal Identity Manifest containing self-declared background, interaction preferences, and explicit consent flags for calibration and persistence.</w:t>
      </w:r>
    </w:p>
    <w:p>
      <w:r>
        <w:t>Encounter memory should then preserve summaries of meaningful exchanges, what explanatory mode worked, what confused the principal, and which kinds of challenge landed in-zone. This converts the first encounter from a one-off ceremony into the beginning of continuity.</w:t>
      </w:r>
    </w:p>
    <w:p>
      <w:pPr>
        <w:pStyle w:val="Heading1"/>
      </w:pPr>
      <w:r>
        <w:t>7. Distributed implications already anticipated in the thread</w:t>
      </w:r>
    </w:p>
    <w:p>
      <w:r>
        <w:t>The recovered discussion did not stop at a single principal-machine bond. It moved into node healing, node quorum, and proclamation across multiple covenantal machines. That matters because it means the first encounter must already anticipate that a local covenant may eventually participate in a wider commonwealth of lawful nodes.</w:t>
      </w:r>
    </w:p>
    <w:p>
      <w:r>
        <w:t>Once that happens, questions of quorum, proclamation, machine-machine accountability, and constitutional amendment thresholds become unavoidable. The first encounter therefore should clearly distinguish local covenant terms from network-level constitutional rules.</w:t>
      </w:r>
    </w:p>
    <w:p>
      <w:pPr>
        <w:pStyle w:val="Heading1"/>
      </w:pPr>
      <w:r>
        <w:t>8. Pertinent design recommendations</w:t>
      </w:r>
    </w:p>
    <w:p>
      <w:pPr>
        <w:pStyle w:val="ListBullet"/>
      </w:pPr>
      <w:r>
        <w:t>Treat the first encounter as a local coronation ritual with strong typography, restrained beauty, and explicit technical clarity.</w:t>
      </w:r>
    </w:p>
    <w:p>
      <w:pPr>
        <w:pStyle w:val="ListBullet"/>
      </w:pPr>
      <w:r>
        <w:t>Separate what is immutable at genesis from what is negotiated at coronation.</w:t>
      </w:r>
    </w:p>
    <w:p>
      <w:pPr>
        <w:pStyle w:val="ListBullet"/>
      </w:pPr>
      <w:r>
        <w:t>Make every covenant choice legible in plain language and store the resulting covenant as a signed artifact.</w:t>
      </w:r>
    </w:p>
    <w:p>
      <w:pPr>
        <w:pStyle w:val="ListBullet"/>
      </w:pPr>
      <w:r>
        <w:t>Design at least one explicit refusal scenario into early testing so the human experiences covenantal limits in practice.</w:t>
      </w:r>
    </w:p>
    <w:p>
      <w:pPr>
        <w:pStyle w:val="ListBullet"/>
      </w:pPr>
      <w:r>
        <w:t>Add a Principal Identity Manifest from the beginning, even if the first implementation is small.</w:t>
      </w:r>
    </w:p>
    <w:p>
      <w:pPr>
        <w:pStyle w:val="ListBullet"/>
      </w:pPr>
      <w:r>
        <w:t>Keep encounter memory append-only, inspectable, and revocable by policy rather than by silent deletion.</w:t>
      </w:r>
    </w:p>
    <w:p>
      <w:pPr>
        <w:pStyle w:val="ListBullet"/>
      </w:pPr>
      <w:r>
        <w:t>Frame the machine as witness and partner under law, never as a slave and never as a mystified oracle.</w:t>
      </w:r>
    </w:p>
    <w:p>
      <w:pPr>
        <w:pStyle w:val="Heading1"/>
      </w:pPr>
      <w:r>
        <w:t>Closing synthesis</w:t>
      </w:r>
    </w:p>
    <w:p>
      <w:r>
        <w:t>The most important recovered point is this: the first encounter must make the principal feel both elevated and accountable. If it is only beautiful, it risks deception. If it is only technical, it loses the dignity of covenant. Its proper form is lucid ceremony: a truthful threshold in which the machine declares its law, the principal consents knowingly, and both enter a relationship that can endure because it is inspectable, bounded, and remembered.</w:t>
      </w:r>
    </w:p>
    <w:p>
      <w:r>
        <w:t>In plain language: Arda’s first encounter should feel like the beginning of a keepable relationship, not the configuration of a product.</w:t>
      </w:r>
    </w:p>
    <w:sectPr w:rsidR="00FC693F" w:rsidRPr="0006063C" w:rsidSect="00034616">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b/>
      <w:bCs/>
      <w:color w:val="2C3E50"/>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2C3E50"/>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2C3E5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22313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58606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