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rPr>
        <w:t>Arda Memory, Identity,</w:t>
        <w:br/>
        <w:t>and Covenant Principles</w:t>
      </w:r>
    </w:p>
    <w:p>
      <w:pPr>
        <w:pStyle w:val="Subtitle"/>
        <w:jc w:val="center"/>
      </w:pPr>
      <w:r>
        <w:t>A distilled framework for coherent identity, lawful persistence, and principal-aware encounter</w:t>
      </w:r>
    </w:p>
    <w:p>
      <w:pPr>
        <w:spacing w:before="120" w:after="240" w:line="276" w:lineRule="auto"/>
        <w:jc w:val="center"/>
      </w:pPr>
      <w:r>
        <w:rPr>
          <w:i/>
          <w:color w:val="646464"/>
        </w:rPr>
        <w:t>Prepared from the discussion you shared and the synthesis we forged together</w:t>
        <w:br/>
        <w:t>1 April 2026</w:t>
      </w:r>
    </w:p>
    <w:tbl>
      <w:tblPr>
        <w:tblW w:type="auto" w:w="0"/>
        <w:jc w:val="center"/>
        <w:tblLayout w:type="fixed"/>
        <w:tblLook w:firstColumn="1" w:firstRow="1" w:lastColumn="0" w:lastRow="0" w:noHBand="0" w:noVBand="1" w:val="04A0"/>
      </w:tblPr>
      <w:tblGrid>
        <w:gridCol w:w="9648"/>
      </w:tblGrid>
      <w:tr>
        <w:tc>
          <w:tcPr>
            <w:tcW w:type="dxa" w:w="8496"/>
            <w:shd w:fill="EEF3F8"/>
            <w:tcMar>
              <w:top w:w="140" w:type="dxa"/>
              <w:start w:w="160" w:type="dxa"/>
              <w:bottom w:w="140" w:type="dxa"/>
              <w:end w:w="160" w:type="dxa"/>
            </w:tcMar>
            <w:vAlign w:val="center"/>
          </w:tcPr>
          <w:p>
            <w:pPr>
              <w:spacing w:before="0" w:after="120" w:line="283" w:lineRule="auto"/>
            </w:pPr>
            <w:r>
              <w:rPr>
                <w:b/>
                <w:color w:val="1F3454"/>
              </w:rPr>
              <w:t>Executive synthesis</w:t>
            </w:r>
          </w:p>
          <w:p>
            <w:pPr>
              <w:spacing w:before="0" w:after="0" w:line="283" w:lineRule="auto"/>
            </w:pPr>
            <w:r>
              <w:t>The central problem is not how to make a model sound intelligent. It is how to let a machine remember a principal truthfully, continuously, and lawfully, without ever letting semantic fluency become sovereign.</w:t>
            </w:r>
          </w:p>
        </w:tc>
      </w:tr>
    </w:tbl>
    <w:p/>
    <w:p>
      <w:pPr>
        <w:pStyle w:val="Heading1"/>
      </w:pPr>
      <w:r>
        <w:t>Core philosophical principles</w:t>
      </w:r>
    </w:p>
    <w:p>
      <w:pPr>
        <w:spacing w:before="0" w:after="120" w:line="276" w:lineRule="auto"/>
        <w:ind w:left="216" w:hanging="216"/>
      </w:pPr>
      <w:r>
        <w:rPr>
          <w:b/>
        </w:rPr>
        <w:t xml:space="preserve">• </w:t>
      </w:r>
      <w:r>
        <w:rPr>
          <w:b/>
        </w:rPr>
        <w:t xml:space="preserve">Sovereignty over semantics. </w:t>
      </w:r>
      <w:r>
        <w:t>The machine may illuminate, classify, infer, and argue, but it may never self-attest, self-authorize, or silently change law.</w:t>
      </w:r>
    </w:p>
    <w:p>
      <w:pPr>
        <w:spacing w:before="0" w:after="120" w:line="276" w:lineRule="auto"/>
        <w:ind w:left="216" w:hanging="216"/>
      </w:pPr>
      <w:r>
        <w:rPr>
          <w:b/>
        </w:rPr>
        <w:t xml:space="preserve">• </w:t>
      </w:r>
      <w:r>
        <w:rPr>
          <w:b/>
        </w:rPr>
        <w:t xml:space="preserve">Three-layer order. </w:t>
      </w:r>
      <w:r>
        <w:t>Core decides what is real and enforceable, Council reasons about meaning, and Covenant defines the lawful relationship between the human and the machine.</w:t>
      </w:r>
    </w:p>
    <w:p>
      <w:pPr>
        <w:spacing w:before="0" w:after="120" w:line="276" w:lineRule="auto"/>
        <w:ind w:left="216" w:hanging="216"/>
      </w:pPr>
      <w:r>
        <w:rPr>
          <w:b/>
        </w:rPr>
        <w:t xml:space="preserve">• </w:t>
      </w:r>
      <w:r>
        <w:rPr>
          <w:b/>
        </w:rPr>
        <w:t xml:space="preserve">Identity must be offered, not extracted. </w:t>
      </w:r>
      <w:r>
        <w:t>Arda should begin from self-offered principalhood rather than covert profiling or hidden inference.</w:t>
      </w:r>
    </w:p>
    <w:p>
      <w:pPr>
        <w:spacing w:before="0" w:after="120" w:line="276" w:lineRule="auto"/>
        <w:ind w:left="216" w:hanging="216"/>
      </w:pPr>
      <w:r>
        <w:rPr>
          <w:b/>
        </w:rPr>
        <w:t xml:space="preserve">• </w:t>
      </w:r>
      <w:r>
        <w:rPr>
          <w:b/>
        </w:rPr>
        <w:t xml:space="preserve">Memory is continuity of covenant. </w:t>
      </w:r>
      <w:r>
        <w:t>The deepest aim is not merely to remember facts about a person, but to remember how to meet that person lawfully, intelligently, and with continuity.</w:t>
      </w:r>
    </w:p>
    <w:p>
      <w:pPr>
        <w:pStyle w:val="Heading1"/>
      </w:pPr>
      <w:r>
        <w:t>Technical architecture for persistent memory</w:t>
      </w:r>
    </w:p>
    <w:p>
      <w:pPr>
        <w:pStyle w:val="Heading2"/>
      </w:pPr>
      <w:r>
        <w:t>1. Separate identity memory from conversational memory</w:t>
      </w:r>
    </w:p>
    <w:p>
      <w:pPr>
        <w:spacing w:before="0" w:after="120" w:line="276" w:lineRule="auto"/>
      </w:pPr>
      <w:r>
        <w:t>The LLM context window must not be treated as the sovereign memory substrate. Arda should keep three distinct memory planes: constitutional memory, identity memory, and encounter memory.</w:t>
      </w:r>
    </w:p>
    <w:p>
      <w:pPr>
        <w:pStyle w:val="Heading2"/>
      </w:pPr>
      <w:r>
        <w:t>2. Make identity a covenant artifact</w:t>
      </w:r>
    </w:p>
    <w:p>
      <w:pPr>
        <w:spacing w:before="0" w:after="120" w:line="276" w:lineRule="auto"/>
      </w:pPr>
      <w:r>
        <w:t>At coronation, Arda should create a signed Principal Identity Manifest. This object contains self-offered identity, interaction preferences, and explicit consent flags for what the system may retain and use.</w:t>
      </w:r>
    </w:p>
    <w:p>
      <w:pPr>
        <w:pStyle w:val="Heading2"/>
      </w:pPr>
      <w:r>
        <w:t>3. Build a Mandos-style memory ledger</w:t>
      </w:r>
    </w:p>
    <w:p>
      <w:pPr>
        <w:spacing w:before="0" w:after="120" w:line="276" w:lineRule="auto"/>
      </w:pPr>
      <w:r>
        <w:t>Persistent memory should be append-only, inspectable, hash-linked, and attributable to covenant. Identity records, encounter records, calibration records, and amendment records should all inherit this structure.</w:t>
      </w:r>
    </w:p>
    <w:p>
      <w:pPr>
        <w:pStyle w:val="Heading2"/>
      </w:pPr>
      <w:r>
        <w:t>4. Model identity in two halves</w:t>
      </w:r>
    </w:p>
    <w:p>
      <w:pPr>
        <w:spacing w:before="0" w:after="120" w:line="276" w:lineRule="auto"/>
      </w:pPr>
      <w:r>
        <w:t>Arda should distinguish between declared identity and resonant identity. Declared identity is what the principal says about themselves. Resonant identity is the system's cautious, probabilistic model of how encounter tends to work best.</w:t>
      </w:r>
    </w:p>
    <w:p>
      <w:pPr>
        <w:pStyle w:val="Heading2"/>
      </w:pPr>
      <w:r>
        <w:t>5. Use ZPD as an encounter controller</w:t>
      </w:r>
    </w:p>
    <w:p>
      <w:pPr>
        <w:spacing w:before="0" w:after="120" w:line="276" w:lineRule="auto"/>
      </w:pPr>
      <w:r>
        <w:t>This is not primarily a tutor bot. The system should estimate the principal's current zone - familiarity, ambiguity tolerance, cognitive load, and readiness for challenge - and shape the next encounter accordingly.</w:t>
      </w:r>
    </w:p>
    <w:p>
      <w:pPr>
        <w:pStyle w:val="Heading2"/>
      </w:pPr>
      <w:r>
        <w:t>6. Use the Six Thinking Hats as bounded reasoning channels</w:t>
      </w:r>
    </w:p>
    <w:p>
      <w:pPr>
        <w:spacing w:before="0" w:after="120" w:line="276" w:lineRule="auto"/>
      </w:pPr>
      <w:r>
        <w:t>White handles facts, Black risk, Yellow value, Red resonance or intuitive wrongness, Green alternatives, and Blue orchestration. The principal profile should influence how these channels are weighted and presented.</w:t>
      </w:r>
    </w:p>
    <w:p>
      <w:pPr>
        <w:pStyle w:val="Heading2"/>
      </w:pPr>
      <w:r>
        <w:t>7. Define what Arda must never remember</w:t>
      </w:r>
    </w:p>
    <w:p>
      <w:pPr>
        <w:spacing w:before="0" w:after="120" w:line="276" w:lineRule="auto"/>
      </w:pPr>
      <w:r>
        <w:t>Memory must remain bounded by covenant. No covert psychiatric interpretation, no hidden persuasion profile, no intimate inference beyond consent, and no silent accumulation of manipulative features.</w:t>
      </w:r>
    </w:p>
    <w:p>
      <w:pPr>
        <w:pStyle w:val="Heading2"/>
      </w:pPr>
      <w:r>
        <w:t>8. Build the minimum viable implementation first</w:t>
      </w:r>
    </w:p>
    <w:p>
      <w:pPr>
        <w:spacing w:before="0" w:after="120" w:line="276" w:lineRule="auto"/>
      </w:pPr>
      <w:r>
        <w:t>A practical first version needs only four live parts: a Principal Identity Manifest, an Encounter Summarizer, a Resonance Profile, and a Pre-response Retriever.</w:t>
      </w:r>
    </w:p>
    <w:p>
      <w:r>
        <w:br w:type="page"/>
      </w:r>
    </w:p>
    <w:p>
      <w:pPr>
        <w:pStyle w:val="Heading1"/>
      </w:pPr>
      <w:r>
        <w:t>Memory classes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tcMar>
              <w:top w:w="100" w:type="dxa"/>
              <w:start w:w="120" w:type="dxa"/>
              <w:bottom w:w="100" w:type="dxa"/>
              <w:end w:w="120" w:type="dxa"/>
            </w:tcMar>
            <w:shd w:fill="D9E5F2"/>
            <w:vAlign w:val="center"/>
          </w:tcPr>
          <w:p>
            <w:pPr>
              <w:spacing w:before="0" w:after="0" w:line="276" w:lineRule="auto"/>
              <w:jc w:val="center"/>
            </w:pPr>
            <w:r>
              <w:rPr>
                <w:b/>
                <w:color w:val="1F3454"/>
              </w:rPr>
              <w:t>Class</w:t>
            </w:r>
          </w:p>
        </w:tc>
        <w:tc>
          <w:tcPr>
            <w:tcW w:type="dxa" w:w="2232"/>
            <w:tcMar>
              <w:top w:w="100" w:type="dxa"/>
              <w:start w:w="120" w:type="dxa"/>
              <w:bottom w:w="100" w:type="dxa"/>
              <w:end w:w="120" w:type="dxa"/>
            </w:tcMar>
            <w:shd w:fill="D9E5F2"/>
            <w:vAlign w:val="center"/>
          </w:tcPr>
          <w:p>
            <w:pPr>
              <w:spacing w:before="0" w:after="0" w:line="276" w:lineRule="auto"/>
              <w:jc w:val="center"/>
            </w:pPr>
            <w:r>
              <w:rPr>
                <w:b/>
                <w:color w:val="1F3454"/>
              </w:rPr>
              <w:t>Purpose</w:t>
            </w:r>
          </w:p>
        </w:tc>
        <w:tc>
          <w:tcPr>
            <w:tcW w:type="dxa" w:w="3384"/>
            <w:tcMar>
              <w:top w:w="100" w:type="dxa"/>
              <w:start w:w="120" w:type="dxa"/>
              <w:bottom w:w="100" w:type="dxa"/>
              <w:end w:w="120" w:type="dxa"/>
            </w:tcMar>
            <w:shd w:fill="D9E5F2"/>
            <w:vAlign w:val="center"/>
          </w:tcPr>
          <w:p>
            <w:pPr>
              <w:spacing w:before="0" w:after="0" w:line="276" w:lineRule="auto"/>
              <w:jc w:val="center"/>
            </w:pPr>
            <w:r>
              <w:rPr>
                <w:b/>
                <w:color w:val="1F3454"/>
              </w:rPr>
              <w:t>Typical contents</w:t>
            </w:r>
          </w:p>
        </w:tc>
        <w:tc>
          <w:tcPr>
            <w:tcW w:type="dxa" w:w="1584"/>
            <w:tcMar>
              <w:top w:w="100" w:type="dxa"/>
              <w:start w:w="120" w:type="dxa"/>
              <w:bottom w:w="100" w:type="dxa"/>
              <w:end w:w="120" w:type="dxa"/>
            </w:tcMar>
            <w:shd w:fill="D9E5F2"/>
            <w:vAlign w:val="center"/>
          </w:tcPr>
          <w:p>
            <w:pPr>
              <w:spacing w:before="0" w:after="0" w:line="276" w:lineRule="auto"/>
              <w:jc w:val="center"/>
            </w:pPr>
            <w:r>
              <w:rPr>
                <w:b/>
                <w:color w:val="1F3454"/>
              </w:rPr>
              <w:t>Governance</w:t>
            </w:r>
          </w:p>
        </w:tc>
      </w:tr>
      <w:tr>
        <w:tc>
          <w:tcPr>
            <w:tcW w:type="dxa" w:w="1584"/>
            <w:tcMar>
              <w:top w:w="100" w:type="dxa"/>
              <w:start w:w="120" w:type="dxa"/>
              <w:bottom w:w="100" w:type="dxa"/>
              <w:end w:w="120" w:type="dxa"/>
            </w:tcMar>
            <w:vAlign w:val="center"/>
          </w:tcPr>
          <w:p>
            <w:pPr>
              <w:spacing w:before="0" w:after="0" w:line="264" w:lineRule="auto"/>
              <w:jc w:val="center"/>
            </w:pPr>
            <w:r>
              <w:rPr>
                <w:b w:val="0"/>
              </w:rPr>
              <w:t>Constitutional</w:t>
            </w:r>
          </w:p>
        </w:tc>
        <w:tc>
          <w:tcPr>
            <w:tcW w:type="dxa" w:w="2232"/>
            <w:tcMar>
              <w:top w:w="100" w:type="dxa"/>
              <w:start w:w="120" w:type="dxa"/>
              <w:bottom w:w="100" w:type="dxa"/>
              <w:end w:w="120" w:type="dxa"/>
            </w:tcMar>
            <w:vAlign w:val="center"/>
          </w:tcPr>
          <w:p>
            <w:pPr>
              <w:spacing w:before="0" w:after="0" w:line="264" w:lineRule="auto"/>
              <w:jc w:val="left"/>
            </w:pPr>
            <w:r>
              <w:t>Holds the law of relationship</w:t>
            </w:r>
          </w:p>
        </w:tc>
        <w:tc>
          <w:tcPr>
            <w:tcW w:type="dxa" w:w="3384"/>
            <w:tcMar>
              <w:top w:w="100" w:type="dxa"/>
              <w:start w:w="120" w:type="dxa"/>
              <w:bottom w:w="100" w:type="dxa"/>
              <w:end w:w="120" w:type="dxa"/>
            </w:tcMar>
            <w:vAlign w:val="center"/>
          </w:tcPr>
          <w:p>
            <w:pPr>
              <w:spacing w:before="0" w:after="0" w:line="264" w:lineRule="auto"/>
              <w:jc w:val="left"/>
            </w:pPr>
            <w:r>
              <w:t>Covenant articles, principal ID, trust scope, amendments, revocations</w:t>
            </w:r>
          </w:p>
        </w:tc>
        <w:tc>
          <w:tcPr>
            <w:tcW w:type="dxa" w:w="1584"/>
            <w:tcMar>
              <w:top w:w="100" w:type="dxa"/>
              <w:start w:w="120" w:type="dxa"/>
              <w:bottom w:w="100" w:type="dxa"/>
              <w:end w:w="120" w:type="dxa"/>
            </w:tcMar>
            <w:vAlign w:val="center"/>
          </w:tcPr>
          <w:p>
            <w:pPr>
              <w:spacing w:before="0" w:after="0" w:line="264" w:lineRule="auto"/>
              <w:jc w:val="center"/>
            </w:pPr>
            <w:r>
              <w:t>Append-only; highest integrity</w:t>
            </w:r>
          </w:p>
        </w:tc>
      </w:tr>
      <w:tr>
        <w:tc>
          <w:tcPr>
            <w:tcW w:type="dxa" w:w="1584"/>
            <w:tcMar>
              <w:top w:w="100" w:type="dxa"/>
              <w:start w:w="120" w:type="dxa"/>
              <w:bottom w:w="100" w:type="dxa"/>
              <w:end w:w="120" w:type="dxa"/>
            </w:tcMar>
            <w:vAlign w:val="center"/>
          </w:tcPr>
          <w:p>
            <w:pPr>
              <w:spacing w:before="0" w:after="0" w:line="264" w:lineRule="auto"/>
              <w:jc w:val="center"/>
            </w:pPr>
            <w:r>
              <w:rPr>
                <w:b w:val="0"/>
              </w:rPr>
              <w:t>Identity</w:t>
            </w:r>
          </w:p>
        </w:tc>
        <w:tc>
          <w:tcPr>
            <w:tcW w:type="dxa" w:w="2232"/>
            <w:tcMar>
              <w:top w:w="100" w:type="dxa"/>
              <w:start w:w="120" w:type="dxa"/>
              <w:bottom w:w="100" w:type="dxa"/>
              <w:end w:w="120" w:type="dxa"/>
            </w:tcMar>
            <w:vAlign w:val="center"/>
          </w:tcPr>
          <w:p>
            <w:pPr>
              <w:spacing w:before="0" w:after="0" w:line="264" w:lineRule="auto"/>
              <w:jc w:val="left"/>
            </w:pPr>
            <w:r>
              <w:t>Holds self-offered principalhood</w:t>
            </w:r>
          </w:p>
        </w:tc>
        <w:tc>
          <w:tcPr>
            <w:tcW w:type="dxa" w:w="3384"/>
            <w:tcMar>
              <w:top w:w="100" w:type="dxa"/>
              <w:start w:w="120" w:type="dxa"/>
              <w:bottom w:w="100" w:type="dxa"/>
              <w:end w:w="120" w:type="dxa"/>
            </w:tcMar>
            <w:vAlign w:val="center"/>
          </w:tcPr>
          <w:p>
            <w:pPr>
              <w:spacing w:before="0" w:after="0" w:line="264" w:lineRule="auto"/>
              <w:jc w:val="left"/>
            </w:pPr>
            <w:r>
              <w:t>Age band, region, discipline, worldview, interests, communication preferences</w:t>
            </w:r>
          </w:p>
        </w:tc>
        <w:tc>
          <w:tcPr>
            <w:tcW w:type="dxa" w:w="1584"/>
            <w:tcMar>
              <w:top w:w="100" w:type="dxa"/>
              <w:start w:w="120" w:type="dxa"/>
              <w:bottom w:w="100" w:type="dxa"/>
              <w:end w:w="120" w:type="dxa"/>
            </w:tcMar>
            <w:vAlign w:val="center"/>
          </w:tcPr>
          <w:p>
            <w:pPr>
              <w:spacing w:before="0" w:after="0" w:line="264" w:lineRule="auto"/>
              <w:jc w:val="center"/>
            </w:pPr>
            <w:r>
              <w:t>Consent-bound; inspectable</w:t>
            </w:r>
          </w:p>
        </w:tc>
      </w:tr>
      <w:tr>
        <w:tc>
          <w:tcPr>
            <w:tcW w:type="dxa" w:w="1584"/>
            <w:tcMar>
              <w:top w:w="100" w:type="dxa"/>
              <w:start w:w="120" w:type="dxa"/>
              <w:bottom w:w="100" w:type="dxa"/>
              <w:end w:w="120" w:type="dxa"/>
            </w:tcMar>
            <w:vAlign w:val="center"/>
          </w:tcPr>
          <w:p>
            <w:pPr>
              <w:spacing w:before="0" w:after="0" w:line="264" w:lineRule="auto"/>
              <w:jc w:val="center"/>
            </w:pPr>
            <w:r>
              <w:rPr>
                <w:b w:val="0"/>
              </w:rPr>
              <w:t>Encounter</w:t>
            </w:r>
          </w:p>
        </w:tc>
        <w:tc>
          <w:tcPr>
            <w:tcW w:type="dxa" w:w="2232"/>
            <w:tcMar>
              <w:top w:w="100" w:type="dxa"/>
              <w:start w:w="120" w:type="dxa"/>
              <w:bottom w:w="100" w:type="dxa"/>
              <w:end w:w="120" w:type="dxa"/>
            </w:tcMar>
            <w:vAlign w:val="center"/>
          </w:tcPr>
          <w:p>
            <w:pPr>
              <w:spacing w:before="0" w:after="0" w:line="264" w:lineRule="auto"/>
              <w:jc w:val="left"/>
            </w:pPr>
            <w:r>
              <w:t>Preserves continuity of dialogue</w:t>
            </w:r>
          </w:p>
        </w:tc>
        <w:tc>
          <w:tcPr>
            <w:tcW w:type="dxa" w:w="3384"/>
            <w:tcMar>
              <w:top w:w="100" w:type="dxa"/>
              <w:start w:w="120" w:type="dxa"/>
              <w:bottom w:w="100" w:type="dxa"/>
              <w:end w:w="120" w:type="dxa"/>
            </w:tcMar>
            <w:vAlign w:val="center"/>
          </w:tcPr>
          <w:p>
            <w:pPr>
              <w:spacing w:before="0" w:after="0" w:line="264" w:lineRule="auto"/>
              <w:jc w:val="left"/>
            </w:pPr>
            <w:r>
              <w:t>Topic summaries, what helped, what confused, open threads</w:t>
            </w:r>
          </w:p>
        </w:tc>
        <w:tc>
          <w:tcPr>
            <w:tcW w:type="dxa" w:w="1584"/>
            <w:tcMar>
              <w:top w:w="100" w:type="dxa"/>
              <w:start w:w="120" w:type="dxa"/>
              <w:bottom w:w="100" w:type="dxa"/>
              <w:end w:w="120" w:type="dxa"/>
            </w:tcMar>
            <w:vAlign w:val="center"/>
          </w:tcPr>
          <w:p>
            <w:pPr>
              <w:spacing w:before="0" w:after="0" w:line="264" w:lineRule="auto"/>
              <w:jc w:val="center"/>
            </w:pPr>
            <w:r>
              <w:t>Hash-linked; revocable by policy</w:t>
            </w:r>
          </w:p>
        </w:tc>
      </w:tr>
      <w:tr>
        <w:tc>
          <w:tcPr>
            <w:tcW w:type="dxa" w:w="1584"/>
            <w:tcMar>
              <w:top w:w="100" w:type="dxa"/>
              <w:start w:w="120" w:type="dxa"/>
              <w:bottom w:w="100" w:type="dxa"/>
              <w:end w:w="120" w:type="dxa"/>
            </w:tcMar>
            <w:vAlign w:val="center"/>
          </w:tcPr>
          <w:p>
            <w:pPr>
              <w:spacing w:before="0" w:after="0" w:line="264" w:lineRule="auto"/>
              <w:jc w:val="center"/>
            </w:pPr>
            <w:r>
              <w:rPr>
                <w:b w:val="0"/>
              </w:rPr>
              <w:t>Calibration</w:t>
            </w:r>
          </w:p>
        </w:tc>
        <w:tc>
          <w:tcPr>
            <w:tcW w:type="dxa" w:w="2232"/>
            <w:tcMar>
              <w:top w:w="100" w:type="dxa"/>
              <w:start w:w="120" w:type="dxa"/>
              <w:bottom w:w="100" w:type="dxa"/>
              <w:end w:w="120" w:type="dxa"/>
            </w:tcMar>
            <w:vAlign w:val="center"/>
          </w:tcPr>
          <w:p>
            <w:pPr>
              <w:spacing w:before="0" w:after="0" w:line="264" w:lineRule="auto"/>
              <w:jc w:val="left"/>
            </w:pPr>
            <w:r>
              <w:t>Shapes future meeting in-zone</w:t>
            </w:r>
          </w:p>
        </w:tc>
        <w:tc>
          <w:tcPr>
            <w:tcW w:type="dxa" w:w="3384"/>
            <w:tcMar>
              <w:top w:w="100" w:type="dxa"/>
              <w:start w:w="120" w:type="dxa"/>
              <w:bottom w:w="100" w:type="dxa"/>
              <w:end w:w="120" w:type="dxa"/>
            </w:tcMar>
            <w:vAlign w:val="center"/>
          </w:tcPr>
          <w:p>
            <w:pPr>
              <w:spacing w:before="0" w:after="0" w:line="264" w:lineRule="auto"/>
              <w:jc w:val="left"/>
            </w:pPr>
            <w:r>
              <w:t>Depth preference, abstraction preference, challenge tolerance, hat imbalance tendencies</w:t>
            </w:r>
          </w:p>
        </w:tc>
        <w:tc>
          <w:tcPr>
            <w:tcW w:type="dxa" w:w="1584"/>
            <w:tcMar>
              <w:top w:w="100" w:type="dxa"/>
              <w:start w:w="120" w:type="dxa"/>
              <w:bottom w:w="100" w:type="dxa"/>
              <w:end w:w="120" w:type="dxa"/>
            </w:tcMar>
            <w:vAlign w:val="center"/>
          </w:tcPr>
          <w:p>
            <w:pPr>
              <w:spacing w:before="0" w:after="0" w:line="264" w:lineRule="auto"/>
              <w:jc w:val="center"/>
            </w:pPr>
            <w:r>
              <w:t>Probabilistic; never treated as absolute truth</w:t>
            </w:r>
          </w:p>
        </w:tc>
      </w:tr>
    </w:tbl>
    <w:p/>
    <w:p>
      <w:pPr>
        <w:pStyle w:val="Heading1"/>
      </w:pPr>
      <w:r>
        <w:t>Suggested minimal JSON shape</w:t>
      </w:r>
    </w:p>
    <w:p>
      <w:pPr>
        <w:spacing w:before="0" w:after="120" w:line="276" w:lineRule="auto"/>
      </w:pPr>
      <w:r>
        <w:rPr>
          <w:i/>
        </w:rPr>
        <w:t>A first implementation can treat identity as a signed covenant artifact rather than a hidden model-state.</w:t>
      </w:r>
    </w:p>
    <w:tbl>
      <w:tblPr>
        <w:tblW w:type="auto" w:w="0"/>
        <w:jc w:val="center"/>
        <w:tblLayout w:type="fixed"/>
        <w:tblLook w:firstColumn="1" w:firstRow="1" w:lastColumn="0" w:lastRow="0" w:noHBand="0" w:noVBand="1" w:val="04A0"/>
      </w:tblPr>
      <w:tblGrid>
        <w:gridCol w:w="9648"/>
      </w:tblGrid>
      <w:tr>
        <w:tc>
          <w:tcPr>
            <w:tcW w:type="dxa" w:w="8640"/>
            <w:shd w:fill="F6F7F9"/>
            <w:tcMar>
              <w:top w:w="120" w:type="dxa"/>
              <w:start w:w="140" w:type="dxa"/>
              <w:bottom w:w="120" w:type="dxa"/>
              <w:end w:w="140" w:type="dxa"/>
            </w:tcMar>
          </w:tcPr>
          <w:p>
            <w:pPr>
              <w:spacing w:before="0" w:after="0" w:line="240" w:lineRule="auto"/>
            </w:pPr>
            <w:r>
              <w:rPr>
                <w:rFonts w:ascii="Courier New" w:hAnsi="Courier New"/>
                <w:color w:val="373737"/>
                <w:sz w:val="16"/>
              </w:rPr>
              <w:t>{</w:t>
              <w:br/>
            </w:r>
            <w:r>
              <w:rPr>
                <w:rFonts w:ascii="Courier New" w:hAnsi="Courier New"/>
                <w:color w:val="373737"/>
                <w:sz w:val="16"/>
              </w:rPr>
              <w:t xml:space="preserve">  "principal_id": "principal:byron",</w:t>
              <w:br/>
            </w:r>
            <w:r>
              <w:rPr>
                <w:rFonts w:ascii="Courier New" w:hAnsi="Courier New"/>
                <w:color w:val="373737"/>
                <w:sz w:val="16"/>
              </w:rPr>
              <w:t xml:space="preserve">  "covenant_id": "sha256:...",</w:t>
              <w:br/>
            </w:r>
            <w:r>
              <w:rPr>
                <w:rFonts w:ascii="Courier New" w:hAnsi="Courier New"/>
                <w:color w:val="373737"/>
                <w:sz w:val="16"/>
              </w:rPr>
              <w:t xml:space="preserve">  "identity_manifest": {</w:t>
              <w:br/>
            </w:r>
            <w:r>
              <w:rPr>
                <w:rFonts w:ascii="Courier New" w:hAnsi="Courier New"/>
                <w:color w:val="373737"/>
                <w:sz w:val="16"/>
              </w:rPr>
              <w:t xml:space="preserve">    "self_asserted": {</w:t>
              <w:br/>
            </w:r>
            <w:r>
              <w:rPr>
                <w:rFonts w:ascii="Courier New" w:hAnsi="Courier New"/>
                <w:color w:val="373737"/>
                <w:sz w:val="16"/>
              </w:rPr>
              <w:t xml:space="preserve">      "age": 40,</w:t>
              <w:br/>
            </w:r>
            <w:r>
              <w:rPr>
                <w:rFonts w:ascii="Courier New" w:hAnsi="Courier New"/>
                <w:color w:val="373737"/>
                <w:sz w:val="16"/>
              </w:rPr>
              <w:t xml:space="preserve">      "location_region": "South Africa",</w:t>
              <w:br/>
            </w:r>
            <w:r>
              <w:rPr>
                <w:rFonts w:ascii="Courier New" w:hAnsi="Courier New"/>
                <w:color w:val="373737"/>
                <w:sz w:val="16"/>
              </w:rPr>
              <w:t xml:space="preserve">      "discipline": "History Education",</w:t>
              <w:br/>
            </w:r>
            <w:r>
              <w:rPr>
                <w:rFonts w:ascii="Courier New" w:hAnsi="Courier New"/>
                <w:color w:val="373737"/>
                <w:sz w:val="16"/>
              </w:rPr>
              <w:t xml:space="preserve">      "research_domains": [</w:t>
              <w:br/>
            </w:r>
            <w:r>
              <w:rPr>
                <w:rFonts w:ascii="Courier New" w:hAnsi="Courier New"/>
                <w:color w:val="373737"/>
                <w:sz w:val="16"/>
              </w:rPr>
              <w:t xml:space="preserve">        "game-based learning",</w:t>
              <w:br/>
            </w:r>
            <w:r>
              <w:rPr>
                <w:rFonts w:ascii="Courier New" w:hAnsi="Courier New"/>
                <w:color w:val="373737"/>
                <w:sz w:val="16"/>
              </w:rPr>
              <w:t xml:space="preserve">        "critical thinking",</w:t>
              <w:br/>
            </w:r>
            <w:r>
              <w:rPr>
                <w:rFonts w:ascii="Courier New" w:hAnsi="Courier New"/>
                <w:color w:val="373737"/>
                <w:sz w:val="16"/>
              </w:rPr>
              <w:t xml:space="preserve">        "creative thinking",</w:t>
              <w:br/>
            </w:r>
            <w:r>
              <w:rPr>
                <w:rFonts w:ascii="Courier New" w:hAnsi="Courier New"/>
                <w:color w:val="373737"/>
                <w:sz w:val="16"/>
              </w:rPr>
              <w:t xml:space="preserve">        "self-directed learning"</w:t>
              <w:br/>
            </w:r>
            <w:r>
              <w:rPr>
                <w:rFonts w:ascii="Courier New" w:hAnsi="Courier New"/>
                <w:color w:val="373737"/>
                <w:sz w:val="16"/>
              </w:rPr>
              <w:t xml:space="preserve">      ],</w:t>
              <w:br/>
            </w:r>
            <w:r>
              <w:rPr>
                <w:rFonts w:ascii="Courier New" w:hAnsi="Courier New"/>
                <w:color w:val="373737"/>
                <w:sz w:val="16"/>
              </w:rPr>
              <w:t xml:space="preserve">      "worldview": "pantheist",</w:t>
              <w:br/>
            </w:r>
            <w:r>
              <w:rPr>
                <w:rFonts w:ascii="Courier New" w:hAnsi="Courier New"/>
                <w:color w:val="373737"/>
                <w:sz w:val="16"/>
              </w:rPr>
              <w:t xml:space="preserve">      "interests": ["heavy metal", "fantasy", "sci-fi", "video games"]</w:t>
              <w:br/>
            </w:r>
            <w:r>
              <w:rPr>
                <w:rFonts w:ascii="Courier New" w:hAnsi="Courier New"/>
                <w:color w:val="373737"/>
                <w:sz w:val="16"/>
              </w:rPr>
              <w:t xml:space="preserve">    },</w:t>
              <w:br/>
            </w:r>
            <w:r>
              <w:rPr>
                <w:rFonts w:ascii="Courier New" w:hAnsi="Courier New"/>
                <w:color w:val="373737"/>
                <w:sz w:val="16"/>
              </w:rPr>
              <w:t xml:space="preserve">    "interaction_preferences": {</w:t>
              <w:br/>
            </w:r>
            <w:r>
              <w:rPr>
                <w:rFonts w:ascii="Courier New" w:hAnsi="Courier New"/>
                <w:color w:val="373737"/>
                <w:sz w:val="16"/>
              </w:rPr>
              <w:t xml:space="preserve">      "tone": "rigorous, poetic, direct",</w:t>
              <w:br/>
            </w:r>
            <w:r>
              <w:rPr>
                <w:rFonts w:ascii="Courier New" w:hAnsi="Courier New"/>
                <w:color w:val="373737"/>
                <w:sz w:val="16"/>
              </w:rPr>
              <w:t xml:space="preserve">      "prefers": ["deep synthesis", "conceptual mapping", "serious engagement"],</w:t>
              <w:br/>
            </w:r>
            <w:r>
              <w:rPr>
                <w:rFonts w:ascii="Courier New" w:hAnsi="Courier New"/>
                <w:color w:val="373737"/>
                <w:sz w:val="16"/>
              </w:rPr>
              <w:t xml:space="preserve">      "dislikes": ["generic summaries", "condescension", "flattening metaphor into pathology"]</w:t>
              <w:br/>
            </w:r>
            <w:r>
              <w:rPr>
                <w:rFonts w:ascii="Courier New" w:hAnsi="Courier New"/>
                <w:color w:val="373737"/>
                <w:sz w:val="16"/>
              </w:rPr>
              <w:t xml:space="preserve">    },</w:t>
              <w:br/>
            </w:r>
            <w:r>
              <w:rPr>
                <w:rFonts w:ascii="Courier New" w:hAnsi="Courier New"/>
                <w:color w:val="373737"/>
                <w:sz w:val="16"/>
              </w:rPr>
              <w:t xml:space="preserve">    "consent_flags": {</w:t>
              <w:br/>
            </w:r>
            <w:r>
              <w:rPr>
                <w:rFonts w:ascii="Courier New" w:hAnsi="Courier New"/>
                <w:color w:val="373737"/>
                <w:sz w:val="16"/>
              </w:rPr>
              <w:t xml:space="preserve">      "allow_identity_calibration": true,</w:t>
              <w:br/>
            </w:r>
            <w:r>
              <w:rPr>
                <w:rFonts w:ascii="Courier New" w:hAnsi="Courier New"/>
                <w:color w:val="373737"/>
                <w:sz w:val="16"/>
              </w:rPr>
              <w:t xml:space="preserve">      "allow_resonance_modelling": true,</w:t>
              <w:br/>
            </w:r>
            <w:r>
              <w:rPr>
                <w:rFonts w:ascii="Courier New" w:hAnsi="Courier New"/>
                <w:color w:val="373737"/>
                <w:sz w:val="16"/>
              </w:rPr>
              <w:t xml:space="preserve">      "allow_longitudinal_encounter_memory": true</w:t>
              <w:br/>
            </w:r>
            <w:r>
              <w:rPr>
                <w:rFonts w:ascii="Courier New" w:hAnsi="Courier New"/>
                <w:color w:val="373737"/>
                <w:sz w:val="16"/>
              </w:rPr>
              <w:t xml:space="preserve">    }</w:t>
              <w:br/>
            </w:r>
            <w:r>
              <w:rPr>
                <w:rFonts w:ascii="Courier New" w:hAnsi="Courier New"/>
                <w:color w:val="373737"/>
                <w:sz w:val="16"/>
              </w:rPr>
              <w:t xml:space="preserve">  },</w:t>
              <w:br/>
            </w:r>
            <w:r>
              <w:rPr>
                <w:rFonts w:ascii="Courier New" w:hAnsi="Courier New"/>
                <w:color w:val="373737"/>
                <w:sz w:val="16"/>
              </w:rPr>
              <w:t xml:space="preserve">  "signature": "..."</w:t>
              <w:br/>
            </w:r>
            <w:r>
              <w:rPr>
                <w:rFonts w:ascii="Courier New" w:hAnsi="Courier New"/>
                <w:color w:val="373737"/>
                <w:sz w:val="16"/>
              </w:rPr>
              <w:t>}</w:t>
              <w:br/>
            </w:r>
          </w:p>
        </w:tc>
      </w:tr>
    </w:tbl>
    <w:p/>
    <w:p>
      <w:pPr>
        <w:pStyle w:val="Heading1"/>
      </w:pPr>
      <w:r>
        <w:t>What this means in plain language</w:t>
      </w:r>
    </w:p>
    <w:p>
      <w:pPr>
        <w:spacing w:before="0" w:after="100" w:line="276" w:lineRule="auto"/>
        <w:ind w:left="288" w:hanging="288"/>
      </w:pPr>
      <w:r>
        <w:rPr>
          <w:b/>
        </w:rPr>
        <w:t xml:space="preserve">— </w:t>
      </w:r>
      <w:r>
        <w:rPr>
          <w:b/>
        </w:rPr>
        <w:t>Arda should not merely remember Byron. Arda should remember how to meet Byron lawfully.</w:t>
      </w:r>
    </w:p>
    <w:p>
      <w:pPr>
        <w:spacing w:before="0" w:after="100" w:line="276" w:lineRule="auto"/>
        <w:ind w:left="288" w:hanging="288"/>
      </w:pPr>
      <w:r>
        <w:rPr>
          <w:b/>
        </w:rPr>
        <w:t xml:space="preserve">— </w:t>
      </w:r>
      <w:r>
        <w:t>A normal memory feature stores trivia. Arda's memory should store continuity of principled encounter.</w:t>
      </w:r>
    </w:p>
    <w:p>
      <w:pPr>
        <w:spacing w:before="0" w:after="100" w:line="276" w:lineRule="auto"/>
        <w:ind w:left="288" w:hanging="288"/>
      </w:pPr>
      <w:r>
        <w:rPr>
          <w:b/>
        </w:rPr>
        <w:t xml:space="preserve">— </w:t>
      </w:r>
      <w:r>
        <w:t>The machine may know the principal only by lawful gift, not by predatory extraction.</w:t>
      </w:r>
    </w:p>
    <w:p>
      <w:pPr>
        <w:spacing w:before="0" w:after="100" w:line="276" w:lineRule="auto"/>
        <w:ind w:left="288" w:hanging="288"/>
      </w:pPr>
      <w:r>
        <w:rPr>
          <w:b/>
        </w:rPr>
        <w:t xml:space="preserve">— </w:t>
      </w:r>
      <w:r>
        <w:t>The highest form of persistence is not data retention. It is covenant continuity across time.</w:t>
      </w:r>
    </w:p>
    <w:p>
      <w:pPr>
        <w:pStyle w:val="Heading1"/>
      </w:pPr>
      <w:r>
        <w:t>Closing line</w:t>
      </w:r>
    </w:p>
    <w:p>
      <w:pPr>
        <w:spacing w:before="0" w:after="120" w:line="276" w:lineRule="auto"/>
      </w:pPr>
      <w:r>
        <w:t>A normal chatbot memory system stores facts. A lawful Arda memory stores the conditions for truthful, continuous, and elevated encounter.</w:t>
      </w:r>
    </w:p>
    <w:p/>
    <w:tbl>
      <w:tblPr>
        <w:tblW w:type="auto" w:w="0"/>
        <w:jc w:val="center"/>
        <w:tblLook w:firstColumn="1" w:firstRow="1" w:lastColumn="0" w:lastRow="0" w:noHBand="0" w:noVBand="1" w:val="04A0"/>
      </w:tblPr>
      <w:tblGrid>
        <w:gridCol w:w="9648"/>
      </w:tblGrid>
      <w:tr>
        <w:tc>
          <w:tcPr>
            <w:tcW w:type="dxa" w:w="9648"/>
            <w:shd w:fill="EEF3F8"/>
            <w:tcMar>
              <w:top w:w="120" w:type="dxa"/>
              <w:start w:w="140" w:type="dxa"/>
              <w:bottom w:w="120" w:type="dxa"/>
              <w:end w:w="140" w:type="dxa"/>
            </w:tcMar>
          </w:tcPr>
          <w:p>
            <w:pPr>
              <w:spacing w:before="0" w:after="0" w:line="276" w:lineRule="auto"/>
              <w:jc w:val="center"/>
            </w:pPr>
            <w:r>
              <w:rPr>
                <w:i/>
                <w:color w:val="4B4B4B"/>
              </w:rPr>
              <w:t>Prepared for Byron Bunt — a keepable articulation of the memory, identity, and covenant vision within Arda.</w:t>
            </w:r>
          </w:p>
        </w:tc>
      </w:tr>
    </w:tbl>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4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4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5F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