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Assessment Rubric - Student 52771792</w:t>
      </w:r>
    </w:p>
    <w:p>
      <w:r>
        <w:rPr>
          <w:b/>
          <w:color w:val="008000"/>
          <w:sz w:val="28"/>
        </w:rPr>
        <w:t>TOTAL SCORE: 19/25 (76.0%)</w:t>
      </w:r>
    </w:p>
    <w:p/>
    <w:p>
      <w:pPr>
        <w:pStyle w:val="Heading2"/>
      </w:pPr>
      <w:r>
        <w:t>Introduction &amp; Conclusion (8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Score Range</w:t>
            </w:r>
          </w:p>
        </w:tc>
        <w:tc>
          <w:tcPr>
            <w:tcW w:type="dxa" w:w="2160"/>
          </w:tcPr>
          <w:p>
            <w:r>
              <w:rPr>
                <w:b/>
              </w:rPr>
              <w:t>Description</w:t>
            </w:r>
          </w:p>
        </w:tc>
        <w:tc>
          <w:tcPr>
            <w:tcW w:type="dxa" w:w="2160"/>
          </w:tcPr>
          <w:p>
            <w:r>
              <w:rPr>
                <w:b/>
              </w:rPr>
              <w:t>Achieved</w:t>
            </w:r>
          </w:p>
        </w:tc>
      </w:tr>
      <w:tr>
        <w:tc>
          <w:tcPr>
            <w:tcW w:type="dxa" w:w="2160"/>
          </w:tcPr>
          <w:p>
            <w:r>
              <w:t>Excellent (7-8)</w:t>
            </w:r>
          </w:p>
        </w:tc>
        <w:tc>
          <w:tcPr>
            <w:tcW w:type="dxa" w:w="2160"/>
          </w:tcPr>
          <w:p>
            <w:r>
              <w:t>7-8</w:t>
            </w:r>
          </w:p>
        </w:tc>
        <w:tc>
          <w:tcPr>
            <w:tcW w:type="dxa" w:w="2160"/>
          </w:tcPr>
          <w:p>
            <w:r>
              <w:t>Insightful critique with strong improvements</w:t>
            </w:r>
          </w:p>
        </w:tc>
        <w:tc>
          <w:tcPr>
            <w:tcW w:type="dxa" w:w="2160"/>
          </w:tcPr>
          <w:p>
            <w:r/>
          </w:p>
        </w:tc>
      </w:tr>
      <w:tr>
        <w:tc>
          <w:tcPr>
            <w:tcW w:type="dxa" w:w="2160"/>
          </w:tcPr>
          <w:p>
            <w:r>
              <w:rPr>
                <w:b/>
              </w:rPr>
              <w:t>Proficient (5-6)</w:t>
            </w:r>
          </w:p>
        </w:tc>
        <w:tc>
          <w:tcPr>
            <w:tcW w:type="dxa" w:w="2160"/>
          </w:tcPr>
          <w:p>
            <w:r>
              <w:rPr>
                <w:b/>
              </w:rPr>
              <w:t>5-6</w:t>
            </w:r>
          </w:p>
        </w:tc>
        <w:tc>
          <w:tcPr>
            <w:tcW w:type="dxa" w:w="2160"/>
          </w:tcPr>
          <w:p>
            <w:r>
              <w:rPr>
                <w:b/>
              </w:rPr>
              <w:t>Clear flaws identified with workable improvements</w:t>
            </w:r>
          </w:p>
        </w:tc>
        <w:tc>
          <w:tcPr>
            <w:tcW w:type="dxa" w:w="2160"/>
          </w:tcPr>
          <w:p>
            <w:r>
              <w:rPr>
                <w:b/>
              </w:rPr>
              <w:t>✓ 5</w:t>
            </w:r>
          </w:p>
        </w:tc>
      </w:tr>
      <w:tr>
        <w:tc>
          <w:tcPr>
            <w:tcW w:type="dxa" w:w="2160"/>
          </w:tcPr>
          <w:p>
            <w:r>
              <w:t>Developing (3-4)</w:t>
            </w:r>
          </w:p>
        </w:tc>
        <w:tc>
          <w:tcPr>
            <w:tcW w:type="dxa" w:w="2160"/>
          </w:tcPr>
          <w:p>
            <w:r>
              <w:t>3-4</w:t>
            </w:r>
          </w:p>
        </w:tc>
        <w:tc>
          <w:tcPr>
            <w:tcW w:type="dxa" w:w="2160"/>
          </w:tcPr>
          <w:p>
            <w:r>
              <w:t>Some flaws noted, weak improvements</w:t>
            </w:r>
          </w:p>
        </w:tc>
        <w:tc>
          <w:tcPr>
            <w:tcW w:type="dxa" w:w="2160"/>
          </w:tcPr>
          <w:p>
            <w:r/>
          </w:p>
        </w:tc>
      </w:tr>
      <w:tr>
        <w:tc>
          <w:tcPr>
            <w:tcW w:type="dxa" w:w="2160"/>
          </w:tcPr>
          <w:p>
            <w:r>
              <w:t>Inadequate (0-2)</w:t>
            </w:r>
          </w:p>
        </w:tc>
        <w:tc>
          <w:tcPr>
            <w:tcW w:type="dxa" w:w="2160"/>
          </w:tcPr>
          <w:p>
            <w:r>
              <w:t>0-2</w:t>
            </w:r>
          </w:p>
        </w:tc>
        <w:tc>
          <w:tcPr>
            <w:tcW w:type="dxa" w:w="2160"/>
          </w:tcPr>
          <w:p>
            <w:r>
              <w:t>Vague or missing critique</w:t>
            </w:r>
          </w:p>
        </w:tc>
        <w:tc>
          <w:tcPr>
            <w:tcW w:type="dxa" w:w="2160"/>
          </w:tcPr>
          <w:p>
            <w:r/>
          </w:p>
        </w:tc>
      </w:tr>
    </w:tbl>
    <w:p>
      <w:r>
        <w:rPr>
          <w:b/>
        </w:rPr>
        <w:t xml:space="preserve">Feedback: </w:t>
      </w:r>
      <w:r>
        <w:rPr>
          <w:i/>
          <w:color w:val="000080"/>
        </w:rPr>
        <w:t>The submission provides a clear framework for the lesson, identifying key historical factors and aims. However, the critique of the lesson plan is somewhat implicit, lacking explicit identification of flaws or areas for improvement. The conclusion reflects on the lesson's success in shifting from opinion-based to evidence-based analysis, which is a strong point.</w:t>
      </w:r>
    </w:p>
    <w:p/>
    <w:p>
      <w:pPr>
        <w:pStyle w:val="Heading2"/>
      </w:pPr>
      <w:r>
        <w:t>Teaching Strategy &amp; Approach (10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Score Range</w:t>
            </w:r>
          </w:p>
        </w:tc>
        <w:tc>
          <w:tcPr>
            <w:tcW w:type="dxa" w:w="2160"/>
          </w:tcPr>
          <w:p>
            <w:r>
              <w:rPr>
                <w:b/>
              </w:rPr>
              <w:t>Description</w:t>
            </w:r>
          </w:p>
        </w:tc>
        <w:tc>
          <w:tcPr>
            <w:tcW w:type="dxa" w:w="2160"/>
          </w:tcPr>
          <w:p>
            <w:r>
              <w:rPr>
                <w:b/>
              </w:rPr>
              <w:t>Achieved</w:t>
            </w:r>
          </w:p>
        </w:tc>
      </w:tr>
      <w:tr>
        <w:tc>
          <w:tcPr>
            <w:tcW w:type="dxa" w:w="2160"/>
          </w:tcPr>
          <w:p>
            <w:r>
              <w:t>Excellent (8-10)</w:t>
            </w:r>
          </w:p>
        </w:tc>
        <w:tc>
          <w:tcPr>
            <w:tcW w:type="dxa" w:w="2160"/>
          </w:tcPr>
          <w:p>
            <w:r>
              <w:t>8-10</w:t>
            </w:r>
          </w:p>
        </w:tc>
        <w:tc>
          <w:tcPr>
            <w:tcW w:type="dxa" w:w="2160"/>
          </w:tcPr>
          <w:p>
            <w:r>
              <w:t>Comprehensive critique with strong progression</w:t>
            </w:r>
          </w:p>
        </w:tc>
        <w:tc>
          <w:tcPr>
            <w:tcW w:type="dxa" w:w="2160"/>
          </w:tcPr>
          <w:p>
            <w:r/>
          </w:p>
        </w:tc>
      </w:tr>
      <w:tr>
        <w:tc>
          <w:tcPr>
            <w:tcW w:type="dxa" w:w="2160"/>
          </w:tcPr>
          <w:p>
            <w:r>
              <w:rPr>
                <w:b/>
              </w:rPr>
              <w:t>Proficient (6-7)</w:t>
            </w:r>
          </w:p>
        </w:tc>
        <w:tc>
          <w:tcPr>
            <w:tcW w:type="dxa" w:w="2160"/>
          </w:tcPr>
          <w:p>
            <w:r>
              <w:rPr>
                <w:b/>
              </w:rPr>
              <w:t>6-7</w:t>
            </w:r>
          </w:p>
        </w:tc>
        <w:tc>
          <w:tcPr>
            <w:tcW w:type="dxa" w:w="2160"/>
          </w:tcPr>
          <w:p>
            <w:r>
              <w:rPr>
                <w:b/>
              </w:rPr>
              <w:t>Key issues identified, meaningful activities</w:t>
            </w:r>
          </w:p>
        </w:tc>
        <w:tc>
          <w:tcPr>
            <w:tcW w:type="dxa" w:w="2160"/>
          </w:tcPr>
          <w:p>
            <w:r>
              <w:rPr>
                <w:b/>
              </w:rPr>
              <w:t>✓ 7</w:t>
            </w:r>
          </w:p>
        </w:tc>
      </w:tr>
      <w:tr>
        <w:tc>
          <w:tcPr>
            <w:tcW w:type="dxa" w:w="2160"/>
          </w:tcPr>
          <w:p>
            <w:r>
              <w:t>Developing (4-5)</w:t>
            </w:r>
          </w:p>
        </w:tc>
        <w:tc>
          <w:tcPr>
            <w:tcW w:type="dxa" w:w="2160"/>
          </w:tcPr>
          <w:p>
            <w:r>
              <w:t>4-5</w:t>
            </w:r>
          </w:p>
        </w:tc>
        <w:tc>
          <w:tcPr>
            <w:tcW w:type="dxa" w:w="2160"/>
          </w:tcPr>
          <w:p>
            <w:r>
              <w:t>Basic critique, limited activities</w:t>
            </w:r>
          </w:p>
        </w:tc>
        <w:tc>
          <w:tcPr>
            <w:tcW w:type="dxa" w:w="2160"/>
          </w:tcPr>
          <w:p>
            <w:r/>
          </w:p>
        </w:tc>
      </w:tr>
      <w:tr>
        <w:tc>
          <w:tcPr>
            <w:tcW w:type="dxa" w:w="2160"/>
          </w:tcPr>
          <w:p>
            <w:r>
              <w:t>Inadequate (0-3)</w:t>
            </w:r>
          </w:p>
        </w:tc>
        <w:tc>
          <w:tcPr>
            <w:tcW w:type="dxa" w:w="2160"/>
          </w:tcPr>
          <w:p>
            <w:r>
              <w:t>0-3</w:t>
            </w:r>
          </w:p>
        </w:tc>
        <w:tc>
          <w:tcPr>
            <w:tcW w:type="dxa" w:w="2160"/>
          </w:tcPr>
          <w:p>
            <w:r>
              <w:t>Superficial or missing</w:t>
            </w:r>
          </w:p>
        </w:tc>
        <w:tc>
          <w:tcPr>
            <w:tcW w:type="dxa" w:w="2160"/>
          </w:tcPr>
          <w:p>
            <w:r/>
          </w:p>
        </w:tc>
      </w:tr>
    </w:tbl>
    <w:p>
      <w:r>
        <w:rPr>
          <w:b/>
        </w:rPr>
        <w:t xml:space="preserve">Feedback: </w:t>
      </w:r>
      <w:r>
        <w:rPr>
          <w:i/>
          <w:color w:val="000080"/>
        </w:rPr>
        <w:t>The teaching strategy effectively incorporates historical thinking skills such as source analysis and comparison. The use of primary sources and structured activities supports historical literacy. However, the progression from lower to higher-order thinking could be more explicitly outlined, particularly in how learners move from analysis to evaluation.</w:t>
      </w:r>
    </w:p>
    <w:p/>
    <w:p>
      <w:pPr>
        <w:pStyle w:val="Heading2"/>
      </w:pPr>
      <w:r>
        <w:t>Assessment &amp; Resources (7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Score Range</w:t>
            </w:r>
          </w:p>
        </w:tc>
        <w:tc>
          <w:tcPr>
            <w:tcW w:type="dxa" w:w="2160"/>
          </w:tcPr>
          <w:p>
            <w:r>
              <w:rPr>
                <w:b/>
              </w:rPr>
              <w:t>Description</w:t>
            </w:r>
          </w:p>
        </w:tc>
        <w:tc>
          <w:tcPr>
            <w:tcW w:type="dxa" w:w="2160"/>
          </w:tcPr>
          <w:p>
            <w:r>
              <w:rPr>
                <w:b/>
              </w:rPr>
              <w:t>Achieved</w:t>
            </w:r>
          </w:p>
        </w:tc>
      </w:tr>
      <w:tr>
        <w:tc>
          <w:tcPr>
            <w:tcW w:type="dxa" w:w="2160"/>
          </w:tcPr>
          <w:p>
            <w:r>
              <w:t>Excellent (6-7)</w:t>
            </w:r>
          </w:p>
        </w:tc>
        <w:tc>
          <w:tcPr>
            <w:tcW w:type="dxa" w:w="2160"/>
          </w:tcPr>
          <w:p>
            <w:r>
              <w:t>6-7</w:t>
            </w:r>
          </w:p>
        </w:tc>
        <w:tc>
          <w:tcPr>
            <w:tcW w:type="dxa" w:w="2160"/>
          </w:tcPr>
          <w:p>
            <w:r>
              <w:t>Well-aligned, detailed resources</w:t>
            </w:r>
          </w:p>
        </w:tc>
        <w:tc>
          <w:tcPr>
            <w:tcW w:type="dxa" w:w="2160"/>
          </w:tcPr>
          <w:p>
            <w:r/>
          </w:p>
        </w:tc>
      </w:tr>
      <w:tr>
        <w:tc>
          <w:tcPr>
            <w:tcW w:type="dxa" w:w="2160"/>
          </w:tcPr>
          <w:p>
            <w:r>
              <w:rPr>
                <w:b/>
              </w:rPr>
              <w:t>Proficient (4-5)</w:t>
            </w:r>
          </w:p>
        </w:tc>
        <w:tc>
          <w:tcPr>
            <w:tcW w:type="dxa" w:w="2160"/>
          </w:tcPr>
          <w:p>
            <w:r>
              <w:rPr>
                <w:b/>
              </w:rPr>
              <w:t>4-5</w:t>
            </w:r>
          </w:p>
        </w:tc>
        <w:tc>
          <w:tcPr>
            <w:tcW w:type="dxa" w:w="2160"/>
          </w:tcPr>
          <w:p>
            <w:r>
              <w:rPr>
                <w:b/>
              </w:rPr>
              <w:t>Mostly aligned, adequate resources</w:t>
            </w:r>
          </w:p>
        </w:tc>
        <w:tc>
          <w:tcPr>
            <w:tcW w:type="dxa" w:w="2160"/>
          </w:tcPr>
          <w:p>
            <w:r>
              <w:rPr>
                <w:b/>
              </w:rPr>
              <w:t>✓ 7</w:t>
            </w:r>
          </w:p>
        </w:tc>
      </w:tr>
      <w:tr>
        <w:tc>
          <w:tcPr>
            <w:tcW w:type="dxa" w:w="2160"/>
          </w:tcPr>
          <w:p>
            <w:r>
              <w:t>Developing (2-3)</w:t>
            </w:r>
          </w:p>
        </w:tc>
        <w:tc>
          <w:tcPr>
            <w:tcW w:type="dxa" w:w="2160"/>
          </w:tcPr>
          <w:p>
            <w:r>
              <w:t>2-3</w:t>
            </w:r>
          </w:p>
        </w:tc>
        <w:tc>
          <w:tcPr>
            <w:tcW w:type="dxa" w:w="2160"/>
          </w:tcPr>
          <w:p>
            <w:r>
              <w:t>Some alignment issues</w:t>
            </w:r>
          </w:p>
        </w:tc>
        <w:tc>
          <w:tcPr>
            <w:tcW w:type="dxa" w:w="2160"/>
          </w:tcPr>
          <w:p>
            <w:r/>
          </w:p>
        </w:tc>
      </w:tr>
      <w:tr>
        <w:tc>
          <w:tcPr>
            <w:tcW w:type="dxa" w:w="2160"/>
          </w:tcPr>
          <w:p>
            <w:r>
              <w:t>Inadequate (0-1)</w:t>
            </w:r>
          </w:p>
        </w:tc>
        <w:tc>
          <w:tcPr>
            <w:tcW w:type="dxa" w:w="2160"/>
          </w:tcPr>
          <w:p>
            <w:r>
              <w:t>0-1</w:t>
            </w:r>
          </w:p>
        </w:tc>
        <w:tc>
          <w:tcPr>
            <w:tcW w:type="dxa" w:w="2160"/>
          </w:tcPr>
          <w:p>
            <w:r>
              <w:t>Misaligned or missing</w:t>
            </w:r>
          </w:p>
        </w:tc>
        <w:tc>
          <w:tcPr>
            <w:tcW w:type="dxa" w:w="2160"/>
          </w:tcPr>
          <w:p>
            <w:r/>
          </w:p>
        </w:tc>
      </w:tr>
    </w:tbl>
    <w:p>
      <w:r>
        <w:rPr>
          <w:b/>
        </w:rPr>
        <w:t xml:space="preserve">Feedback: </w:t>
      </w:r>
      <w:r>
        <w:rPr>
          <w:i/>
          <w:color w:val="000080"/>
        </w:rPr>
        <w:t>The assessment strategies are well-aligned with the lesson objectives, focusing on formative assessment through source-based tasks and oral questioning. The resources, including worksheets and concept maps, are appropriate and support the lesson's aims. However, the submission could benefit from more detailed descriptions of how these resources are used to support diverse learners.</w:t>
      </w:r>
    </w:p>
    <w:p/>
    <w:p>
      <w:pPr>
        <w:pStyle w:val="Heading1"/>
      </w:pPr>
      <w:r>
        <w:t>Summary</w:t>
      </w:r>
    </w:p>
    <w:p>
      <w:pPr>
        <w:pStyle w:val="Heading2"/>
      </w:pPr>
      <w:r>
        <w:t>Strengths ✓</w:t>
      </w:r>
    </w:p>
    <w:p>
      <w:pPr>
        <w:pStyle w:val="ListBullet"/>
      </w:pPr>
      <w:r>
        <w:rPr>
          <w:color w:val="008000"/>
        </w:rPr>
        <w:t>Effective use of primary sources to develop historical thinking skills.</w:t>
      </w:r>
    </w:p>
    <w:p>
      <w:pPr>
        <w:pStyle w:val="ListBullet"/>
      </w:pPr>
      <w:r>
        <w:rPr>
          <w:color w:val="008000"/>
        </w:rPr>
        <w:t>Clear focus on evidence-based analysis and historical empathy.</w:t>
      </w:r>
    </w:p>
    <w:p>
      <w:pPr>
        <w:pStyle w:val="Heading2"/>
      </w:pPr>
      <w:r>
        <w:t>Areas for Improvement →</w:t>
      </w:r>
    </w:p>
    <w:p>
      <w:pPr>
        <w:pStyle w:val="ListBullet"/>
      </w:pPr>
      <w:r>
        <w:rPr>
          <w:color w:val="C86400"/>
        </w:rPr>
        <w:t>Explicitly identify and critique potential flaws in the lesson plan.</w:t>
      </w:r>
    </w:p>
    <w:p>
      <w:pPr>
        <w:pStyle w:val="ListBullet"/>
      </w:pPr>
      <w:r>
        <w:rPr>
          <w:color w:val="C86400"/>
        </w:rPr>
        <w:t>Enhance the progression from analysis to evaluation in teaching strategies.</w:t>
      </w:r>
    </w:p>
    <w:p>
      <w:pPr>
        <w:pStyle w:val="Heading2"/>
      </w:pPr>
      <w:r>
        <w:t>Overall Feedback</w:t>
      </w:r>
    </w:p>
    <w:p>
      <w:r>
        <w:t>The submission demonstrates a solid understanding of historical concepts and effective pedagogical strategies. The lesson plan effectively incorporates historical thinking skills and uses primary sources to engage learners. However, the critique could be more explicit in identifying areas for improvement, and the progression to higher-order thinking skills could be more clearly articulated.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