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9453F" w14:textId="60AB811C" w:rsidR="00B01B7E" w:rsidRDefault="00000000">
      <w:pPr>
        <w:spacing w:before="1440" w:after="240"/>
        <w:jc w:val="center"/>
        <w:rPr>
          <w:b/>
          <w:bCs/>
        </w:rPr>
      </w:pPr>
      <w:r>
        <w:rPr>
          <w:b/>
          <w:bCs/>
        </w:rPr>
        <w:t>Ingeniería</w:t>
      </w:r>
      <w:r w:rsidR="00040332" w:rsidRPr="00040332">
        <w:rPr>
          <w:b/>
          <w:bCs/>
        </w:rPr>
        <w:t xml:space="preserve"> de Datos en la DGTITD: Estado del Arte para la Construcción de Pipelines, Arquitecturas y Automatización Institucional</w:t>
      </w:r>
    </w:p>
    <w:p w14:paraId="01938930" w14:textId="44804D45" w:rsidR="00040332" w:rsidRPr="00040332" w:rsidRDefault="00040332">
      <w:pPr>
        <w:spacing w:before="1440" w:after="240"/>
        <w:jc w:val="center"/>
      </w:pPr>
      <w:r>
        <w:rPr>
          <w:b/>
          <w:bCs/>
        </w:rPr>
        <w:t xml:space="preserve">Estudiante: </w:t>
      </w:r>
      <w:r>
        <w:t>Byron Daniel Córdova Romero</w:t>
      </w:r>
    </w:p>
    <w:p w14:paraId="45C25774" w14:textId="77777777" w:rsidR="00B01B7E" w:rsidRDefault="00000000">
      <w:pPr>
        <w:spacing w:after="120"/>
        <w:jc w:val="center"/>
      </w:pPr>
      <w:r>
        <w:t>Universidad Técnica Particular de Loja</w:t>
      </w:r>
    </w:p>
    <w:p w14:paraId="4BA1E79D" w14:textId="77777777" w:rsidR="00B01B7E" w:rsidRDefault="00000000">
      <w:pPr>
        <w:spacing w:after="1440"/>
        <w:jc w:val="center"/>
      </w:pPr>
      <w:r>
        <w:t>2026</w:t>
      </w:r>
    </w:p>
    <w:p w14:paraId="1D3F5026" w14:textId="77777777" w:rsidR="00B01B7E" w:rsidRDefault="00000000">
      <w:pPr>
        <w:pStyle w:val="Ttulo1"/>
      </w:pPr>
      <w:r>
        <w:t>Resumen</w:t>
      </w:r>
    </w:p>
    <w:p w14:paraId="20F27AAD" w14:textId="77777777" w:rsidR="00B01B7E" w:rsidRDefault="00000000">
      <w:pPr>
        <w:spacing w:after="240" w:line="480" w:lineRule="auto"/>
        <w:ind w:firstLine="720"/>
        <w:jc w:val="both"/>
      </w:pPr>
      <w:r>
        <w:t xml:space="preserve">La ingeniería de datos ha superado su rol convencional de soporte técnico para consolidarse como el cimiento estructural de la Inteligencia Artificial (IA) en la era actual. Este trabajo examina la transformación del ciclo de vida de los datos, analizando el desplazamiento desde sistemas rígidos hacia arquitecturas flexibles como el Data </w:t>
      </w:r>
      <w:proofErr w:type="spellStart"/>
      <w:r>
        <w:t>Lakehouse</w:t>
      </w:r>
      <w:proofErr w:type="spellEnd"/>
      <w:r>
        <w:t xml:space="preserve"> y el paradigma </w:t>
      </w:r>
      <w:proofErr w:type="spellStart"/>
      <w:r>
        <w:t>Extract</w:t>
      </w:r>
      <w:proofErr w:type="spellEnd"/>
      <w:r>
        <w:t xml:space="preserve">, Load, </w:t>
      </w:r>
      <w:proofErr w:type="spellStart"/>
      <w:r>
        <w:t>Transform</w:t>
      </w:r>
      <w:proofErr w:type="spellEnd"/>
      <w:r>
        <w:t xml:space="preserve"> (ELT). Asimismo, se explora la manera en que la descentralización mediante Data </w:t>
      </w:r>
      <w:proofErr w:type="spellStart"/>
      <w:r>
        <w:t>Mesh</w:t>
      </w:r>
      <w:proofErr w:type="spellEnd"/>
      <w:r>
        <w:t xml:space="preserve"> y la aparición de la IA </w:t>
      </w:r>
      <w:proofErr w:type="spellStart"/>
      <w:r>
        <w:t>Agéntica</w:t>
      </w:r>
      <w:proofErr w:type="spellEnd"/>
      <w:r>
        <w:t xml:space="preserve"> están reconfigurando la eficiencia operacional, facilitando el paso de flujos manuales a sistemas autónomos con capacidad de </w:t>
      </w:r>
      <w:proofErr w:type="spellStart"/>
      <w:r>
        <w:t>autoreparación</w:t>
      </w:r>
      <w:proofErr w:type="spellEnd"/>
      <w:r>
        <w:t>, aplicados en contextos críticos como la manufactura y la educación superior.</w:t>
      </w:r>
    </w:p>
    <w:p w14:paraId="11591385" w14:textId="77777777" w:rsidR="00B01B7E" w:rsidRPr="00040332" w:rsidRDefault="00000000">
      <w:pPr>
        <w:spacing w:after="240" w:line="480" w:lineRule="auto"/>
        <w:ind w:firstLine="720"/>
        <w:jc w:val="both"/>
        <w:rPr>
          <w:sz w:val="20"/>
          <w:szCs w:val="20"/>
        </w:rPr>
      </w:pPr>
      <w:r w:rsidRPr="00040332">
        <w:rPr>
          <w:b/>
          <w:bCs/>
          <w:sz w:val="20"/>
          <w:szCs w:val="20"/>
        </w:rPr>
        <w:t xml:space="preserve">Palabras clave: Ingeniería de Datos, Data </w:t>
      </w:r>
      <w:proofErr w:type="spellStart"/>
      <w:r w:rsidRPr="00040332">
        <w:rPr>
          <w:b/>
          <w:bCs/>
          <w:sz w:val="20"/>
          <w:szCs w:val="20"/>
        </w:rPr>
        <w:t>Lakehouse</w:t>
      </w:r>
      <w:proofErr w:type="spellEnd"/>
      <w:r w:rsidRPr="00040332">
        <w:rPr>
          <w:b/>
          <w:bCs/>
          <w:sz w:val="20"/>
          <w:szCs w:val="20"/>
        </w:rPr>
        <w:t xml:space="preserve">, ELT, Data </w:t>
      </w:r>
      <w:proofErr w:type="spellStart"/>
      <w:r w:rsidRPr="00040332">
        <w:rPr>
          <w:b/>
          <w:bCs/>
          <w:sz w:val="20"/>
          <w:szCs w:val="20"/>
        </w:rPr>
        <w:t>Mesh</w:t>
      </w:r>
      <w:proofErr w:type="spellEnd"/>
      <w:r w:rsidRPr="00040332">
        <w:rPr>
          <w:b/>
          <w:bCs/>
          <w:sz w:val="20"/>
          <w:szCs w:val="20"/>
        </w:rPr>
        <w:t xml:space="preserve">, IA </w:t>
      </w:r>
      <w:proofErr w:type="spellStart"/>
      <w:r w:rsidRPr="00040332">
        <w:rPr>
          <w:b/>
          <w:bCs/>
          <w:sz w:val="20"/>
          <w:szCs w:val="20"/>
        </w:rPr>
        <w:t>Agéntica</w:t>
      </w:r>
      <w:proofErr w:type="spellEnd"/>
      <w:r w:rsidRPr="00040332">
        <w:rPr>
          <w:b/>
          <w:bCs/>
          <w:sz w:val="20"/>
          <w:szCs w:val="20"/>
        </w:rPr>
        <w:t>.</w:t>
      </w:r>
    </w:p>
    <w:p w14:paraId="214E9289" w14:textId="77777777" w:rsidR="00B01B7E" w:rsidRPr="00040332" w:rsidRDefault="00000000">
      <w:pPr>
        <w:pStyle w:val="Ttulo1"/>
        <w:rPr>
          <w:sz w:val="20"/>
          <w:szCs w:val="20"/>
          <w:lang w:val="en-US"/>
        </w:rPr>
      </w:pPr>
      <w:r w:rsidRPr="00040332">
        <w:rPr>
          <w:sz w:val="20"/>
          <w:szCs w:val="20"/>
          <w:lang w:val="en-US"/>
        </w:rPr>
        <w:t>Abstract</w:t>
      </w:r>
    </w:p>
    <w:p w14:paraId="5E58549B" w14:textId="77777777" w:rsidR="00B01B7E" w:rsidRPr="00040332" w:rsidRDefault="00000000">
      <w:pPr>
        <w:spacing w:after="240" w:line="480" w:lineRule="auto"/>
        <w:ind w:firstLine="720"/>
        <w:jc w:val="both"/>
        <w:rPr>
          <w:lang w:val="en-US"/>
        </w:rPr>
      </w:pPr>
      <w:r w:rsidRPr="00040332">
        <w:rPr>
          <w:lang w:val="en-US"/>
        </w:rPr>
        <w:lastRenderedPageBreak/>
        <w:t>Data engineering has evolved beyond its traditional technical support function to become the foundational backbone of modern Artificial Intelligence (AI). This paper examines the transformation of the data life cycle, analyzing the shift from rigid systems toward elastic architectures such as the Data Lakehouse and the Extract, Load, Transform (ELT) paradigm. It further investigates how decentralization via Data Mesh and the emergence of Agentic AI are reshaping operational efficiency, enabling the transition from manual pipelines to autonomous, self-healing systems that optimize information flows in critical sectors such as manufacturing and higher education.</w:t>
      </w:r>
    </w:p>
    <w:p w14:paraId="7DB2990B" w14:textId="77777777" w:rsidR="00B01B7E" w:rsidRPr="00040332" w:rsidRDefault="00000000">
      <w:pPr>
        <w:spacing w:after="240" w:line="480" w:lineRule="auto"/>
        <w:ind w:firstLine="720"/>
        <w:jc w:val="both"/>
        <w:rPr>
          <w:lang w:val="en-US"/>
        </w:rPr>
      </w:pPr>
      <w:r w:rsidRPr="00040332">
        <w:rPr>
          <w:b/>
          <w:bCs/>
          <w:lang w:val="en-US"/>
        </w:rPr>
        <w:t>Keywords: Data Engineering, Data Lakehouse, ELT, Data Mesh, Agentic AI.</w:t>
      </w:r>
    </w:p>
    <w:p w14:paraId="47A639ED" w14:textId="77777777" w:rsidR="00B01B7E" w:rsidRDefault="00000000">
      <w:pPr>
        <w:pStyle w:val="Ttulo1"/>
      </w:pPr>
      <w:r>
        <w:t>1. Introducción</w:t>
      </w:r>
    </w:p>
    <w:p w14:paraId="4F09078C" w14:textId="77777777" w:rsidR="00B01B7E" w:rsidRDefault="00000000">
      <w:pPr>
        <w:spacing w:after="240" w:line="480" w:lineRule="auto"/>
        <w:ind w:firstLine="720"/>
        <w:jc w:val="both"/>
      </w:pPr>
      <w:r>
        <w:t>En el contexto tecnológico contemporáneo, la generación de información digital ha alcanzado proporciones sin precedentes. Las proyecciones indican que, hacia el año 2025, la producción global de datos podría llegar a los 463 exabytes diarios (</w:t>
      </w:r>
      <w:proofErr w:type="spellStart"/>
      <w:r>
        <w:t>Striim</w:t>
      </w:r>
      <w:proofErr w:type="spellEnd"/>
      <w:r>
        <w:t>, 2026). Este crecimiento exponencial pone de manifiesto que el verdadero valor estratégico no reside en el volumen de información por sí mismo, sino en la capacidad de transformar flujos de datos brutos en conocimiento accionable. La ingeniería de datos emerge, en este escenario, como la disciplina técnica y académica encargada de construir los cimientos que permitan sostener modelos predictivos de alta precisión.</w:t>
      </w:r>
    </w:p>
    <w:p w14:paraId="28736685" w14:textId="77777777" w:rsidR="00B01B7E" w:rsidRDefault="00000000">
      <w:pPr>
        <w:spacing w:after="240" w:line="480" w:lineRule="auto"/>
        <w:ind w:firstLine="720"/>
        <w:jc w:val="both"/>
      </w:pPr>
      <w:r>
        <w:t xml:space="preserve">La relevancia de esta investigación radica en la premisa de que la solidez de la infraestructura de datos condiciona directamente el rendimiento de los sistemas de IA. Las deficiencias en la ingeniería de datos, como la acumulación de pantanos de datos (data </w:t>
      </w:r>
      <w:proofErr w:type="spellStart"/>
      <w:r>
        <w:t>swamps</w:t>
      </w:r>
      <w:proofErr w:type="spellEnd"/>
      <w:r>
        <w:t xml:space="preserve">), provocan la degradación del aprendizaje automático a través de fenómenos como el </w:t>
      </w:r>
      <w:r>
        <w:lastRenderedPageBreak/>
        <w:t>desplazamiento de características (</w:t>
      </w:r>
      <w:proofErr w:type="spellStart"/>
      <w:r>
        <w:t>feature</w:t>
      </w:r>
      <w:proofErr w:type="spellEnd"/>
      <w:r>
        <w:t xml:space="preserve"> </w:t>
      </w:r>
      <w:proofErr w:type="spellStart"/>
      <w:r>
        <w:t>drift</w:t>
      </w:r>
      <w:proofErr w:type="spellEnd"/>
      <w:r>
        <w:t>) o el entrenamiento con información desactualizada (IBM, 2026). Por ello, la transición consciente hacia arquitecturas resilientes resulta indispensable para garantizar la integridad de los datos a lo largo de todo su ciclo de vida.</w:t>
      </w:r>
    </w:p>
    <w:p w14:paraId="6E30BBEE" w14:textId="77777777" w:rsidR="00B01B7E" w:rsidRDefault="00000000">
      <w:pPr>
        <w:pStyle w:val="Ttulo1"/>
      </w:pPr>
      <w:r>
        <w:t>2. Marco Conceptual</w:t>
      </w:r>
    </w:p>
    <w:p w14:paraId="5EA67B77" w14:textId="77777777" w:rsidR="00B01B7E" w:rsidRDefault="00000000">
      <w:pPr>
        <w:pStyle w:val="Ttulo2"/>
      </w:pPr>
      <w:r>
        <w:t>2.1 Fundamentos de la Ingeniería de Datos</w:t>
      </w:r>
    </w:p>
    <w:p w14:paraId="33DB748D" w14:textId="77777777" w:rsidR="00B01B7E" w:rsidRDefault="00000000">
      <w:pPr>
        <w:pStyle w:val="Ttulo3"/>
      </w:pPr>
      <w:r>
        <w:t>2.1.1 Bases conceptuales</w:t>
      </w:r>
    </w:p>
    <w:p w14:paraId="0513036B" w14:textId="77777777" w:rsidR="00B01B7E" w:rsidRDefault="00000000">
      <w:pPr>
        <w:spacing w:after="240" w:line="480" w:lineRule="auto"/>
        <w:ind w:firstLine="720"/>
        <w:jc w:val="both"/>
      </w:pPr>
      <w:r>
        <w:t xml:space="preserve">La ingeniería de datos representa la confluencia entre la ingeniería de software y la gestión de sistemas distribuidos a gran escala. A diferencia del enfoque clásico, centrado en el dominio de SQL y bases de datos relacionales, el ecosistema contemporáneo demanda el manejo de marcos de procesamiento distribuido como Apache </w:t>
      </w:r>
      <w:proofErr w:type="spellStart"/>
      <w:r>
        <w:t>Spark</w:t>
      </w:r>
      <w:proofErr w:type="spellEnd"/>
      <w:r>
        <w:t xml:space="preserve"> y lenguajes como Python o Scala (Reis &amp; </w:t>
      </w:r>
      <w:proofErr w:type="spellStart"/>
      <w:r>
        <w:t>Housley</w:t>
      </w:r>
      <w:proofErr w:type="spellEnd"/>
      <w:r>
        <w:t>, 2023). Esta evolución responde a las limitaciones del almacenamiento relacional frente a volúmenes masivos de información, trasladando la carga computacional hacia sistemas de archivos distribuidos (HDFS) y almacenamiento de objetos en la nube (S3, ADLS), que permiten escalar horizontalmente de manera elástica (</w:t>
      </w:r>
      <w:proofErr w:type="spellStart"/>
      <w:r>
        <w:t>Brainforge</w:t>
      </w:r>
      <w:proofErr w:type="spellEnd"/>
      <w:r>
        <w:t>, 2025).</w:t>
      </w:r>
    </w:p>
    <w:p w14:paraId="4576CA35" w14:textId="77777777" w:rsidR="00B01B7E" w:rsidRDefault="00000000">
      <w:pPr>
        <w:pStyle w:val="Ttulo3"/>
      </w:pPr>
      <w:r>
        <w:t>2.1.2 Definición y propósito</w:t>
      </w:r>
    </w:p>
    <w:p w14:paraId="79381EC7" w14:textId="77777777" w:rsidR="00B01B7E" w:rsidRDefault="00000000">
      <w:pPr>
        <w:spacing w:after="240" w:line="480" w:lineRule="auto"/>
        <w:ind w:firstLine="720"/>
        <w:jc w:val="both"/>
      </w:pPr>
      <w:r>
        <w:t xml:space="preserve">Bajo la filosofía de Datos como Producto (Data as a </w:t>
      </w:r>
      <w:proofErr w:type="spellStart"/>
      <w:r>
        <w:t>Product</w:t>
      </w:r>
      <w:proofErr w:type="spellEnd"/>
      <w:r>
        <w:t xml:space="preserve"> – </w:t>
      </w:r>
      <w:proofErr w:type="spellStart"/>
      <w:r>
        <w:t>DaaP</w:t>
      </w:r>
      <w:proofErr w:type="spellEnd"/>
      <w:r>
        <w:t>), el propósito central de la ingeniería de datos consiste en eliminar la fricción operativa para analistas y científicos de datos. El objetivo es entregar activos informativos que sean descubribles, accesibles, confiables y autodescriptivos (</w:t>
      </w:r>
      <w:proofErr w:type="spellStart"/>
      <w:r>
        <w:t>FirstEigen</w:t>
      </w:r>
      <w:proofErr w:type="spellEnd"/>
      <w:r>
        <w:t>, 2026). En este sentido, el ingeniero de datos asume el rol de arquitecto de productos que garantiza la existencia de una fuente única de verdad organizacional.</w:t>
      </w:r>
    </w:p>
    <w:p w14:paraId="7901BC17" w14:textId="77777777" w:rsidR="00B01B7E" w:rsidRDefault="00000000">
      <w:pPr>
        <w:pStyle w:val="Ttulo3"/>
      </w:pPr>
      <w:r>
        <w:t>2.1.3 El ciclo de vida de los datos</w:t>
      </w:r>
    </w:p>
    <w:p w14:paraId="5299ABAD" w14:textId="77777777" w:rsidR="00B01B7E" w:rsidRDefault="00000000">
      <w:pPr>
        <w:spacing w:after="240" w:line="480" w:lineRule="auto"/>
        <w:ind w:firstLine="720"/>
        <w:jc w:val="both"/>
      </w:pPr>
      <w:r>
        <w:t>El flujo de procesamiento de datos se articula en fases críticas sostenidas por corrientes transversales (</w:t>
      </w:r>
      <w:proofErr w:type="spellStart"/>
      <w:r>
        <w:t>undercurrents</w:t>
      </w:r>
      <w:proofErr w:type="spellEnd"/>
      <w:r>
        <w:t xml:space="preserve">), principios que deben aplicarse de manera continua en cada etapa del proceso (Reis &amp; </w:t>
      </w:r>
      <w:proofErr w:type="spellStart"/>
      <w:r>
        <w:t>Housley</w:t>
      </w:r>
      <w:proofErr w:type="spellEnd"/>
      <w:r>
        <w:t xml:space="preserve">, 2023). Las fases comprenden: (a) Generación e ingesta, que abarca la </w:t>
      </w:r>
      <w:r>
        <w:lastRenderedPageBreak/>
        <w:t xml:space="preserve">captura de datos desde fuentes como </w:t>
      </w:r>
      <w:proofErr w:type="spellStart"/>
      <w:r>
        <w:t>IoT</w:t>
      </w:r>
      <w:proofErr w:type="spellEnd"/>
      <w:r>
        <w:t xml:space="preserve">, SaaS o </w:t>
      </w:r>
      <w:proofErr w:type="spellStart"/>
      <w:r>
        <w:t>APIs</w:t>
      </w:r>
      <w:proofErr w:type="spellEnd"/>
      <w:r>
        <w:t xml:space="preserve">, con énfasis en seguridad mediante encriptación y enmascaramiento de información sensible; (b) Almacenamiento, orientado a la persistencia en </w:t>
      </w:r>
      <w:proofErr w:type="spellStart"/>
      <w:r>
        <w:t>Lakehouses</w:t>
      </w:r>
      <w:proofErr w:type="spellEnd"/>
      <w:r>
        <w:t xml:space="preserve"> o sistemas de objetos en la nube, con mecanismos de orquestación para sincronizar flujos; (c) Procesamiento, que incluye transformación, limpieza y normalización, con foco en escalabilidad arquitectónica; y (d) Servicio, destinado a la entrega de datos para inteligencia de negocio, aprendizaje automático y analítica avanzada, apoyado en </w:t>
      </w:r>
      <w:proofErr w:type="spellStart"/>
      <w:r>
        <w:t>observabilidad</w:t>
      </w:r>
      <w:proofErr w:type="spellEnd"/>
      <w:r>
        <w:t xml:space="preserve"> y control de calidad.</w:t>
      </w:r>
    </w:p>
    <w:p w14:paraId="6C5BE649" w14:textId="77777777" w:rsidR="00B01B7E" w:rsidRDefault="00000000">
      <w:pPr>
        <w:pStyle w:val="Ttulo2"/>
      </w:pPr>
      <w:r>
        <w:t>2.2 Patrones de Integración: ETL y ELT</w:t>
      </w:r>
    </w:p>
    <w:p w14:paraId="1C9E6194" w14:textId="77777777" w:rsidR="00B01B7E" w:rsidRDefault="00000000">
      <w:pPr>
        <w:spacing w:after="240" w:line="480" w:lineRule="auto"/>
        <w:ind w:firstLine="720"/>
        <w:jc w:val="both"/>
      </w:pPr>
      <w:r>
        <w:t xml:space="preserve">La elasticidad de la computación en la nube ha posicionado al modelo ELT (Extraer, Cargar, Transformar) como el paradigma arquitectónico predominante para la unificación de cargas de trabajo. En contraste, el modelo ETL (Extraer, Transformar, Cargar) realiza las transformaciones en un servidor intermedio antes de cargar los datos, siendo la alternativa más adecuada para bases de datos heredadas y escenarios en los que las normativas de cumplimiento exigen el enmascaramiento de información sensible previo a su almacenamiento final, utilizando para ello un esquema de escritura rígido o </w:t>
      </w:r>
      <w:proofErr w:type="spellStart"/>
      <w:r>
        <w:t>Schema-on-write</w:t>
      </w:r>
      <w:proofErr w:type="spellEnd"/>
      <w:r>
        <w:t xml:space="preserve"> (AWS, 2026). Por su parte, el enfoque ELT carga directamente los datos en bruto en el almacén y delega la transformación al poder de procesamiento paralelo del Data </w:t>
      </w:r>
      <w:proofErr w:type="spellStart"/>
      <w:r>
        <w:t>Warehouse</w:t>
      </w:r>
      <w:proofErr w:type="spellEnd"/>
      <w:r>
        <w:t xml:space="preserve">, utilizando un esquema de lectura flexible o </w:t>
      </w:r>
      <w:proofErr w:type="spellStart"/>
      <w:r>
        <w:t>Schema-on-read</w:t>
      </w:r>
      <w:proofErr w:type="spellEnd"/>
      <w:r>
        <w:t xml:space="preserve">, lo cual otorga mayor versatilidad para reprocesar datos históricos sin necesidad de </w:t>
      </w:r>
      <w:proofErr w:type="spellStart"/>
      <w:r>
        <w:t>reextraerlos</w:t>
      </w:r>
      <w:proofErr w:type="spellEnd"/>
      <w:r>
        <w:t xml:space="preserve"> desde el origen (Domo, 2026; </w:t>
      </w:r>
      <w:proofErr w:type="spellStart"/>
      <w:r>
        <w:t>dbt</w:t>
      </w:r>
      <w:proofErr w:type="spellEnd"/>
      <w:r>
        <w:t xml:space="preserve"> </w:t>
      </w:r>
      <w:proofErr w:type="spellStart"/>
      <w:r>
        <w:t>Labs</w:t>
      </w:r>
      <w:proofErr w:type="spellEnd"/>
      <w:r>
        <w:t>, 2026).</w:t>
      </w:r>
    </w:p>
    <w:p w14:paraId="03122357" w14:textId="77777777" w:rsidR="00B01B7E" w:rsidRDefault="00000000">
      <w:pPr>
        <w:pStyle w:val="Ttulo2"/>
      </w:pPr>
      <w:r>
        <w:t xml:space="preserve">2.3 Ingesta mediante </w:t>
      </w:r>
      <w:proofErr w:type="spellStart"/>
      <w:r>
        <w:t>APIs</w:t>
      </w:r>
      <w:proofErr w:type="spellEnd"/>
      <w:r>
        <w:t xml:space="preserve">: REST y </w:t>
      </w:r>
      <w:proofErr w:type="spellStart"/>
      <w:r>
        <w:t>GraphQL</w:t>
      </w:r>
      <w:proofErr w:type="spellEnd"/>
    </w:p>
    <w:p w14:paraId="69E27966" w14:textId="77777777" w:rsidR="00B01B7E" w:rsidRDefault="00000000">
      <w:pPr>
        <w:spacing w:after="240" w:line="480" w:lineRule="auto"/>
        <w:ind w:firstLine="720"/>
        <w:jc w:val="both"/>
      </w:pPr>
      <w:r>
        <w:t>La captura de datos a través de interfaces de programación de aplicaciones (</w:t>
      </w:r>
      <w:proofErr w:type="spellStart"/>
      <w:r>
        <w:t>APIs</w:t>
      </w:r>
      <w:proofErr w:type="spellEnd"/>
      <w:r>
        <w:t xml:space="preserve">) requiere una evaluación rigurosa de los contratos de comunicación disponibles. REST constituye el estándar basado en múltiples </w:t>
      </w:r>
      <w:proofErr w:type="spellStart"/>
      <w:r>
        <w:t>endpoints</w:t>
      </w:r>
      <w:proofErr w:type="spellEnd"/>
      <w:r>
        <w:t xml:space="preserve">, aunque presenta vulnerabilidades como el </w:t>
      </w:r>
      <w:proofErr w:type="spellStart"/>
      <w:r>
        <w:t>over-fetching</w:t>
      </w:r>
      <w:proofErr w:type="spellEnd"/>
      <w:r>
        <w:t xml:space="preserve"> </w:t>
      </w:r>
      <w:r>
        <w:lastRenderedPageBreak/>
        <w:t xml:space="preserve">(descarga de datos en exceso) y el </w:t>
      </w:r>
      <w:proofErr w:type="spellStart"/>
      <w:r>
        <w:t>under-fetching</w:t>
      </w:r>
      <w:proofErr w:type="spellEnd"/>
      <w:r>
        <w:t xml:space="preserve"> (necesidad de múltiples llamadas para obtener un único registro). En contraste, </w:t>
      </w:r>
      <w:proofErr w:type="spellStart"/>
      <w:r>
        <w:t>GraphQL</w:t>
      </w:r>
      <w:proofErr w:type="spellEnd"/>
      <w:r>
        <w:t xml:space="preserve"> opera mediante un esquema de tipado estricto que funciona como un contrato preciso, permitiendo solicitar únicamente los campos requeridos y reduciendo considerablemente la latencia de red durante la ingesta (IBM, 2026).</w:t>
      </w:r>
    </w:p>
    <w:p w14:paraId="3058321F" w14:textId="77777777" w:rsidR="00B01B7E" w:rsidRDefault="00000000">
      <w:pPr>
        <w:pStyle w:val="Ttulo2"/>
      </w:pPr>
      <w:r>
        <w:t xml:space="preserve">2.4 Almacenamiento Moderno: El Data </w:t>
      </w:r>
      <w:proofErr w:type="spellStart"/>
      <w:r>
        <w:t>Lakehouse</w:t>
      </w:r>
      <w:proofErr w:type="spellEnd"/>
    </w:p>
    <w:p w14:paraId="4287A79A" w14:textId="77777777" w:rsidR="00B01B7E" w:rsidRDefault="00000000">
      <w:pPr>
        <w:spacing w:after="240" w:line="480" w:lineRule="auto"/>
        <w:ind w:firstLine="720"/>
        <w:jc w:val="both"/>
      </w:pPr>
      <w:r>
        <w:t xml:space="preserve">El Data </w:t>
      </w:r>
      <w:proofErr w:type="spellStart"/>
      <w:r>
        <w:t>Lakehouse</w:t>
      </w:r>
      <w:proofErr w:type="spellEnd"/>
      <w:r>
        <w:t xml:space="preserve"> surge como una arquitectura convergente que combina el bajo costo y la escalabilidad característica del Data Lake con la gobernanza y las transacciones ACID (Atomicidad, Consistencia, Aislamiento y Durabilidad) propias del Data </w:t>
      </w:r>
      <w:proofErr w:type="spellStart"/>
      <w:r>
        <w:t>Warehouse</w:t>
      </w:r>
      <w:proofErr w:type="spellEnd"/>
      <w:r>
        <w:t xml:space="preserve"> (IBM, 2026). Las proyecciones del mercado estiman que este segmento crecerá desde USD 8.900 millones en 2023 hasta USD 66.400 millones para el año 2033 (</w:t>
      </w:r>
      <w:proofErr w:type="spellStart"/>
      <w:r>
        <w:t>CelerData</w:t>
      </w:r>
      <w:proofErr w:type="spellEnd"/>
      <w:r>
        <w:t>, 2025), consolidándose como la infraestructura estándar para unificar la analítica descriptiva y el aprendizaje automático en un único repositorio.</w:t>
      </w:r>
    </w:p>
    <w:p w14:paraId="69359EB4" w14:textId="77777777" w:rsidR="00B01B7E" w:rsidRDefault="00000000">
      <w:pPr>
        <w:pStyle w:val="Ttulo1"/>
      </w:pPr>
      <w:r>
        <w:t>3. Trabajos Relacionados</w:t>
      </w:r>
    </w:p>
    <w:p w14:paraId="49163E79" w14:textId="77777777" w:rsidR="00B01B7E" w:rsidRDefault="00000000">
      <w:pPr>
        <w:pStyle w:val="Ttulo2"/>
      </w:pPr>
      <w:r>
        <w:t>3.1 Implementación en Instituciones de Educación Superior</w:t>
      </w:r>
    </w:p>
    <w:p w14:paraId="7567950D" w14:textId="77777777" w:rsidR="00B01B7E" w:rsidRDefault="00000000">
      <w:pPr>
        <w:spacing w:after="240" w:line="480" w:lineRule="auto"/>
        <w:ind w:firstLine="720"/>
        <w:jc w:val="both"/>
      </w:pPr>
      <w:r>
        <w:t xml:space="preserve">En el ámbito académico, la integración entre los Sistemas de Información Estudiantil (SIS) y los sistemas de gestión del aprendizaje (LMS) como </w:t>
      </w:r>
      <w:proofErr w:type="spellStart"/>
      <w:r>
        <w:t>Canvas</w:t>
      </w:r>
      <w:proofErr w:type="spellEnd"/>
      <w:r>
        <w:t xml:space="preserve"> o Blackboard resulta fundamental para la prevención del abandono escolar. El principal desafío radica en la depuración rigurosa de registros, orientada a evitar la formación de pantanos de datos académicos y a garantizar el cumplimiento de regulaciones como FERPA y GDPR, especialmente durante el proceso de </w:t>
      </w:r>
      <w:proofErr w:type="spellStart"/>
      <w:r>
        <w:t>anonimización</w:t>
      </w:r>
      <w:proofErr w:type="spellEnd"/>
      <w:r>
        <w:t xml:space="preserve"> de identidades estudiantiles en flujos de investigación (Integrate.io, 2026).</w:t>
      </w:r>
    </w:p>
    <w:p w14:paraId="21CDFF8C" w14:textId="77777777" w:rsidR="00B01B7E" w:rsidRDefault="00000000">
      <w:pPr>
        <w:pStyle w:val="Ttulo2"/>
      </w:pPr>
      <w:r>
        <w:t>3.2 Procesamiento Distribuido en el Sector Manufacturero</w:t>
      </w:r>
    </w:p>
    <w:p w14:paraId="76D16005" w14:textId="77777777" w:rsidR="00B01B7E" w:rsidRDefault="00000000">
      <w:pPr>
        <w:spacing w:after="240" w:line="480" w:lineRule="auto"/>
        <w:ind w:firstLine="720"/>
        <w:jc w:val="both"/>
      </w:pPr>
      <w:r>
        <w:t>El impacto del Mantenimiento Predictivo (</w:t>
      </w:r>
      <w:proofErr w:type="spellStart"/>
      <w:r>
        <w:t>PdM</w:t>
      </w:r>
      <w:proofErr w:type="spellEnd"/>
      <w:r>
        <w:t xml:space="preserve">) en la industria manufacturera es significativo: cada hora de inactividad imprevista en una planta automotriz de gran escala </w:t>
      </w:r>
      <w:r>
        <w:lastRenderedPageBreak/>
        <w:t>representa un costo aproximado de USD 2,3 millones, cifra que supone un incremento del 100% respecto a los registros de 2019 (</w:t>
      </w:r>
      <w:proofErr w:type="spellStart"/>
      <w:r>
        <w:t>ConnectPoint</w:t>
      </w:r>
      <w:proofErr w:type="spellEnd"/>
      <w:r>
        <w:t>, 2025). En un caso de estudio documentado (</w:t>
      </w:r>
      <w:proofErr w:type="spellStart"/>
      <w:r>
        <w:t>Factored</w:t>
      </w:r>
      <w:proofErr w:type="spellEnd"/>
      <w:r>
        <w:t xml:space="preserve"> AI/</w:t>
      </w:r>
      <w:proofErr w:type="spellStart"/>
      <w:r>
        <w:t>ConnectPoint</w:t>
      </w:r>
      <w:proofErr w:type="spellEnd"/>
      <w:r>
        <w:t>), se implementaron modelos que procesaban información proveniente de más de 500 sensores por ciclo de máquina, alcanzando una precisión de 0,90, una sensibilidad de 0,60 y un F1-score de entre 0,70 y 0,85. Estas métricas permitieron identificar el 60% de las fallas reales antes de que se produjeran interrupciones, logrando una reducción sustancial del desperdicio de materiales y los costos operativos (</w:t>
      </w:r>
      <w:proofErr w:type="spellStart"/>
      <w:r>
        <w:t>Factored</w:t>
      </w:r>
      <w:proofErr w:type="spellEnd"/>
      <w:r>
        <w:t xml:space="preserve"> AI, 2026; </w:t>
      </w:r>
      <w:proofErr w:type="spellStart"/>
      <w:r>
        <w:t>ConnectPoint</w:t>
      </w:r>
      <w:proofErr w:type="spellEnd"/>
      <w:r>
        <w:t>, 2025).</w:t>
      </w:r>
    </w:p>
    <w:p w14:paraId="595D8891" w14:textId="77777777" w:rsidR="00B01B7E" w:rsidRDefault="00000000">
      <w:pPr>
        <w:pStyle w:val="Ttulo1"/>
      </w:pPr>
      <w:r>
        <w:t>4. Herramientas y Tecnologías</w:t>
      </w:r>
    </w:p>
    <w:p w14:paraId="744CFA1D" w14:textId="77777777" w:rsidR="00B01B7E" w:rsidRDefault="00000000">
      <w:pPr>
        <w:spacing w:after="240" w:line="480" w:lineRule="auto"/>
        <w:ind w:firstLine="720"/>
        <w:jc w:val="both"/>
      </w:pPr>
      <w:r>
        <w:t>El ecosistema técnico de la ingeniería de datos contemporánea se articula en torno a un conjunto de herramientas especializadas que cumplen funciones complementarias:</w:t>
      </w:r>
    </w:p>
    <w:p w14:paraId="482429C3" w14:textId="77777777" w:rsidR="00B01B7E" w:rsidRDefault="00000000">
      <w:pPr>
        <w:pStyle w:val="Prrafodelista"/>
        <w:numPr>
          <w:ilvl w:val="0"/>
          <w:numId w:val="2"/>
        </w:numPr>
        <w:spacing w:before="60" w:after="60" w:line="480" w:lineRule="auto"/>
      </w:pPr>
      <w:proofErr w:type="spellStart"/>
      <w:r>
        <w:t>Prefect</w:t>
      </w:r>
      <w:proofErr w:type="spellEnd"/>
      <w:r>
        <w:t>: Orquestador nativo de Python que opera como tejido conectivo del flujo de datos, ofreciendo programación dinámica y elástica con ventajas notables frente a herramientas tradicionales de configuración rígida (</w:t>
      </w:r>
      <w:proofErr w:type="spellStart"/>
      <w:r>
        <w:t>Brainforge</w:t>
      </w:r>
      <w:proofErr w:type="spellEnd"/>
      <w:r>
        <w:t>, 2025).</w:t>
      </w:r>
    </w:p>
    <w:p w14:paraId="2E63082A" w14:textId="77777777" w:rsidR="00B01B7E" w:rsidRDefault="00000000">
      <w:pPr>
        <w:pStyle w:val="Prrafodelista"/>
        <w:numPr>
          <w:ilvl w:val="0"/>
          <w:numId w:val="2"/>
        </w:numPr>
        <w:spacing w:before="60" w:after="60" w:line="480" w:lineRule="auto"/>
      </w:pPr>
      <w:r>
        <w:t xml:space="preserve">Apache </w:t>
      </w:r>
      <w:proofErr w:type="spellStart"/>
      <w:r>
        <w:t>Spark</w:t>
      </w:r>
      <w:proofErr w:type="spellEnd"/>
      <w:r>
        <w:t xml:space="preserve"> (</w:t>
      </w:r>
      <w:proofErr w:type="spellStart"/>
      <w:r>
        <w:t>PySpark</w:t>
      </w:r>
      <w:proofErr w:type="spellEnd"/>
      <w:r>
        <w:t>): Estándar de procesamiento distribuido que posibilita el manejo de terabytes de datos mediante el particionamiento y la ejecución paralela en múltiples nodos (IBM, 2026).</w:t>
      </w:r>
    </w:p>
    <w:p w14:paraId="283D036F" w14:textId="77777777" w:rsidR="00B01B7E" w:rsidRDefault="00000000">
      <w:pPr>
        <w:pStyle w:val="Prrafodelista"/>
        <w:numPr>
          <w:ilvl w:val="0"/>
          <w:numId w:val="2"/>
        </w:numPr>
        <w:spacing w:before="60" w:after="60" w:line="480" w:lineRule="auto"/>
      </w:pPr>
      <w:proofErr w:type="spellStart"/>
      <w:r>
        <w:t>dbt</w:t>
      </w:r>
      <w:proofErr w:type="spellEnd"/>
      <w:r>
        <w:t xml:space="preserve"> (data </w:t>
      </w:r>
      <w:proofErr w:type="spellStart"/>
      <w:r>
        <w:t>build</w:t>
      </w:r>
      <w:proofErr w:type="spellEnd"/>
      <w:r>
        <w:t xml:space="preserve"> </w:t>
      </w:r>
      <w:proofErr w:type="spellStart"/>
      <w:r>
        <w:t>tool</w:t>
      </w:r>
      <w:proofErr w:type="spellEnd"/>
      <w:r>
        <w:t>): Herramienta esencial en el modelo ELT que permite realizar transformaciones mediante SQL modular, favoreciendo el control de versiones y la trazabilidad del linaje de datos (</w:t>
      </w:r>
      <w:proofErr w:type="spellStart"/>
      <w:r>
        <w:t>dbt</w:t>
      </w:r>
      <w:proofErr w:type="spellEnd"/>
      <w:r>
        <w:t xml:space="preserve"> </w:t>
      </w:r>
      <w:proofErr w:type="spellStart"/>
      <w:r>
        <w:t>Labs</w:t>
      </w:r>
      <w:proofErr w:type="spellEnd"/>
      <w:r>
        <w:t>, 2026).</w:t>
      </w:r>
    </w:p>
    <w:p w14:paraId="47B97A70" w14:textId="77777777" w:rsidR="00B01B7E" w:rsidRDefault="00000000">
      <w:pPr>
        <w:pStyle w:val="Prrafodelista"/>
        <w:numPr>
          <w:ilvl w:val="0"/>
          <w:numId w:val="2"/>
        </w:numPr>
        <w:spacing w:before="60" w:after="240" w:line="480" w:lineRule="auto"/>
      </w:pPr>
      <w:r>
        <w:t xml:space="preserve">Calidad y </w:t>
      </w:r>
      <w:proofErr w:type="spellStart"/>
      <w:r>
        <w:t>Observabilidad</w:t>
      </w:r>
      <w:proofErr w:type="spellEnd"/>
      <w:r>
        <w:t>: La infraestructura de datos debe garantizar dimensiones de exactitud, integridad y confiabilidad. El monitoreo en tiempo real resulta imperativo para detectar anomalías antes de que afecten la inferencia de los modelos en producción (IBM, 2026).</w:t>
      </w:r>
    </w:p>
    <w:p w14:paraId="319AEE9C" w14:textId="77777777" w:rsidR="00B01B7E" w:rsidRDefault="00000000">
      <w:pPr>
        <w:pStyle w:val="Ttulo1"/>
      </w:pPr>
      <w:r>
        <w:lastRenderedPageBreak/>
        <w:t>5. Tendencias y Futuro</w:t>
      </w:r>
    </w:p>
    <w:p w14:paraId="1FC09AEF" w14:textId="77777777" w:rsidR="00B01B7E" w:rsidRDefault="00000000">
      <w:pPr>
        <w:pStyle w:val="Ttulo2"/>
      </w:pPr>
      <w:r>
        <w:t xml:space="preserve">5.1 Data </w:t>
      </w:r>
      <w:proofErr w:type="spellStart"/>
      <w:r>
        <w:t>Mesh</w:t>
      </w:r>
      <w:proofErr w:type="spellEnd"/>
      <w:r>
        <w:t xml:space="preserve"> y Descentralización</w:t>
      </w:r>
    </w:p>
    <w:p w14:paraId="3B048882" w14:textId="77777777" w:rsidR="00B01B7E" w:rsidRDefault="00000000">
      <w:pPr>
        <w:spacing w:after="240" w:line="480" w:lineRule="auto"/>
        <w:ind w:firstLine="720"/>
        <w:jc w:val="both"/>
      </w:pPr>
      <w:r>
        <w:t xml:space="preserve">El paradigma del Data </w:t>
      </w:r>
      <w:proofErr w:type="spellStart"/>
      <w:r>
        <w:t>Mesh</w:t>
      </w:r>
      <w:proofErr w:type="spellEnd"/>
      <w:r>
        <w:t xml:space="preserve"> propone una arquitectura organizativa orientada a dominios, en la que los equipos de negocio asumen la propiedad y gestión de sus propios datos. Si bien este enfoque incrementa la agilidad organizacional, genera desafíos complejos en materia de gobernanza federada y ejecución de operaciones entre dominios, lo que demanda una infraestructura de autoservicio robusta y bien diseñada (</w:t>
      </w:r>
      <w:proofErr w:type="spellStart"/>
      <w:r>
        <w:t>FirstEigen</w:t>
      </w:r>
      <w:proofErr w:type="spellEnd"/>
      <w:r>
        <w:t>, 2026).</w:t>
      </w:r>
    </w:p>
    <w:p w14:paraId="37F5BA38" w14:textId="77777777" w:rsidR="00B01B7E" w:rsidRDefault="00000000">
      <w:pPr>
        <w:pStyle w:val="Ttulo2"/>
      </w:pPr>
      <w:r>
        <w:t>5.2 Automatización mediante Agentes de Inteligencia Artificial</w:t>
      </w:r>
    </w:p>
    <w:p w14:paraId="68F5CBC3" w14:textId="77777777" w:rsidR="00B01B7E" w:rsidRDefault="00000000">
      <w:pPr>
        <w:spacing w:after="240" w:line="480" w:lineRule="auto"/>
        <w:ind w:firstLine="720"/>
        <w:jc w:val="both"/>
      </w:pPr>
      <w:r>
        <w:t xml:space="preserve">La consolidación de la IA </w:t>
      </w:r>
      <w:proofErr w:type="spellStart"/>
      <w:r>
        <w:t>Agéntica</w:t>
      </w:r>
      <w:proofErr w:type="spellEnd"/>
      <w:r>
        <w:t xml:space="preserve"> transformará profundamente la ingeniería de datos en los próximos años. A diferencia de los sistemas convencionales, estos agentes autónomos no solo ejecutan tareas programadas, sino que poseen la capacidad de reparar flujos de datos de forma automática, detectar y mitigar cambios en el esquema (</w:t>
      </w:r>
      <w:proofErr w:type="spellStart"/>
      <w:r>
        <w:t>schema</w:t>
      </w:r>
      <w:proofErr w:type="spellEnd"/>
      <w:r>
        <w:t xml:space="preserve"> </w:t>
      </w:r>
      <w:proofErr w:type="spellStart"/>
      <w:r>
        <w:t>drift</w:t>
      </w:r>
      <w:proofErr w:type="spellEnd"/>
      <w:r>
        <w:t xml:space="preserve">), y optimizar los costos computacionales. Esta evolución redefinirá el rol del ingeniero de datos, desplazando su labor desde el </w:t>
      </w:r>
      <w:proofErr w:type="spellStart"/>
      <w:r>
        <w:t>triaje</w:t>
      </w:r>
      <w:proofErr w:type="spellEnd"/>
      <w:r>
        <w:t xml:space="preserve"> manual de errores hacia la definición de políticas y la supervisión de sistemas autogestionados (IBM, 2026).</w:t>
      </w:r>
    </w:p>
    <w:p w14:paraId="3896D461" w14:textId="77777777" w:rsidR="00B01B7E" w:rsidRDefault="00000000">
      <w:pPr>
        <w:pStyle w:val="Ttulo1"/>
      </w:pPr>
      <w:r>
        <w:t>6. Conclusiones</w:t>
      </w:r>
    </w:p>
    <w:p w14:paraId="0D5E4D3B" w14:textId="77777777" w:rsidR="00B01B7E" w:rsidRDefault="00000000">
      <w:pPr>
        <w:spacing w:after="240" w:line="480" w:lineRule="auto"/>
        <w:ind w:firstLine="720"/>
        <w:jc w:val="both"/>
      </w:pPr>
      <w:r>
        <w:t xml:space="preserve">La ingeniería de datos ha recorrido un camino de transformación profunda, pasando de la construcción artesanal de tuberías manuales a la concepción de sistemas autónomos de alto nivel. Su posición como habilitador fundamental de la IA queda refrendada por la premisa de que, sin una infraestructura elástica y gobernada, los modelos predictivos carecen de validez operativa. La adopción del Data </w:t>
      </w:r>
      <w:proofErr w:type="spellStart"/>
      <w:r>
        <w:t>Lakehouse</w:t>
      </w:r>
      <w:proofErr w:type="spellEnd"/>
      <w:r>
        <w:t xml:space="preserve"> y la automatización </w:t>
      </w:r>
      <w:proofErr w:type="spellStart"/>
      <w:r>
        <w:t>agéntica</w:t>
      </w:r>
      <w:proofErr w:type="spellEnd"/>
      <w:r>
        <w:t xml:space="preserve"> marcan el horizonte hacia una nueva etapa profesional, en la que el ingeniero de datos deja de ser un operario de mantenimiento para convertirse en un arquitecto de autonomía, calidad y estrategia informacional.</w:t>
      </w:r>
    </w:p>
    <w:p w14:paraId="75C5888D" w14:textId="77777777" w:rsidR="00B01B7E" w:rsidRPr="00040332" w:rsidRDefault="00000000">
      <w:pPr>
        <w:pStyle w:val="Ttulo1"/>
        <w:rPr>
          <w:lang w:val="en-US"/>
        </w:rPr>
      </w:pPr>
      <w:proofErr w:type="spellStart"/>
      <w:r w:rsidRPr="00040332">
        <w:rPr>
          <w:lang w:val="en-US"/>
        </w:rPr>
        <w:lastRenderedPageBreak/>
        <w:t>Referencias</w:t>
      </w:r>
      <w:proofErr w:type="spellEnd"/>
    </w:p>
    <w:p w14:paraId="36148B4D" w14:textId="77777777" w:rsidR="00B01B7E" w:rsidRPr="00040332" w:rsidRDefault="00000000" w:rsidP="00040332">
      <w:pPr>
        <w:pStyle w:val="Prrafodelista"/>
        <w:numPr>
          <w:ilvl w:val="0"/>
          <w:numId w:val="3"/>
        </w:numPr>
        <w:spacing w:after="120" w:line="480" w:lineRule="auto"/>
        <w:jc w:val="both"/>
        <w:rPr>
          <w:lang w:val="en-US"/>
        </w:rPr>
      </w:pPr>
      <w:r w:rsidRPr="00040332">
        <w:rPr>
          <w:lang w:val="en-US"/>
        </w:rPr>
        <w:t>AWS. (2026). ETL vs. ELT: Differences, use cases, and best practices. Amazon Web Services.</w:t>
      </w:r>
    </w:p>
    <w:p w14:paraId="4D30C909" w14:textId="77777777" w:rsidR="00B01B7E" w:rsidRPr="00040332" w:rsidRDefault="00000000" w:rsidP="00040332">
      <w:pPr>
        <w:pStyle w:val="Prrafodelista"/>
        <w:numPr>
          <w:ilvl w:val="0"/>
          <w:numId w:val="3"/>
        </w:numPr>
        <w:spacing w:after="120" w:line="480" w:lineRule="auto"/>
        <w:jc w:val="both"/>
        <w:rPr>
          <w:lang w:val="en-US"/>
        </w:rPr>
      </w:pPr>
      <w:proofErr w:type="spellStart"/>
      <w:r w:rsidRPr="00040332">
        <w:rPr>
          <w:lang w:val="en-US"/>
        </w:rPr>
        <w:t>Brainforge</w:t>
      </w:r>
      <w:proofErr w:type="spellEnd"/>
      <w:r w:rsidRPr="00040332">
        <w:rPr>
          <w:lang w:val="en-US"/>
        </w:rPr>
        <w:t xml:space="preserve">. (2025). Data engineering: Understanding the modern data fundamentals in 2025. </w:t>
      </w:r>
      <w:proofErr w:type="spellStart"/>
      <w:r w:rsidRPr="00040332">
        <w:rPr>
          <w:lang w:val="en-US"/>
        </w:rPr>
        <w:t>Brainforge</w:t>
      </w:r>
      <w:proofErr w:type="spellEnd"/>
      <w:r w:rsidRPr="00040332">
        <w:rPr>
          <w:lang w:val="en-US"/>
        </w:rPr>
        <w:t>.</w:t>
      </w:r>
    </w:p>
    <w:p w14:paraId="639D43B8" w14:textId="77777777" w:rsidR="00B01B7E" w:rsidRPr="00040332" w:rsidRDefault="00000000" w:rsidP="00040332">
      <w:pPr>
        <w:pStyle w:val="Prrafodelista"/>
        <w:numPr>
          <w:ilvl w:val="0"/>
          <w:numId w:val="3"/>
        </w:numPr>
        <w:spacing w:after="120" w:line="480" w:lineRule="auto"/>
        <w:jc w:val="both"/>
        <w:rPr>
          <w:lang w:val="en-US"/>
        </w:rPr>
      </w:pPr>
      <w:proofErr w:type="spellStart"/>
      <w:r w:rsidRPr="00040332">
        <w:rPr>
          <w:lang w:val="en-US"/>
        </w:rPr>
        <w:t>CelerData</w:t>
      </w:r>
      <w:proofErr w:type="spellEnd"/>
      <w:r w:rsidRPr="00040332">
        <w:rPr>
          <w:lang w:val="en-US"/>
        </w:rPr>
        <w:t xml:space="preserve">. (2025, </w:t>
      </w:r>
      <w:proofErr w:type="spellStart"/>
      <w:r w:rsidRPr="00040332">
        <w:rPr>
          <w:lang w:val="en-US"/>
        </w:rPr>
        <w:t>enero</w:t>
      </w:r>
      <w:proofErr w:type="spellEnd"/>
      <w:r w:rsidRPr="00040332">
        <w:rPr>
          <w:lang w:val="en-US"/>
        </w:rPr>
        <w:t xml:space="preserve"> 9). Data lake vs data warehouse vs data </w:t>
      </w:r>
      <w:proofErr w:type="spellStart"/>
      <w:r w:rsidRPr="00040332">
        <w:rPr>
          <w:lang w:val="en-US"/>
        </w:rPr>
        <w:t>lakehouse</w:t>
      </w:r>
      <w:proofErr w:type="spellEnd"/>
      <w:r w:rsidRPr="00040332">
        <w:rPr>
          <w:lang w:val="en-US"/>
        </w:rPr>
        <w:t xml:space="preserve">: Key differences in 2025. </w:t>
      </w:r>
      <w:proofErr w:type="spellStart"/>
      <w:r w:rsidRPr="00040332">
        <w:rPr>
          <w:lang w:val="en-US"/>
        </w:rPr>
        <w:t>CelerData</w:t>
      </w:r>
      <w:proofErr w:type="spellEnd"/>
      <w:r w:rsidRPr="00040332">
        <w:rPr>
          <w:lang w:val="en-US"/>
        </w:rPr>
        <w:t>.</w:t>
      </w:r>
    </w:p>
    <w:p w14:paraId="233BE7CD" w14:textId="77777777" w:rsidR="00B01B7E" w:rsidRPr="00040332" w:rsidRDefault="00000000" w:rsidP="00040332">
      <w:pPr>
        <w:pStyle w:val="Prrafodelista"/>
        <w:numPr>
          <w:ilvl w:val="0"/>
          <w:numId w:val="3"/>
        </w:numPr>
        <w:spacing w:after="120" w:line="480" w:lineRule="auto"/>
        <w:jc w:val="both"/>
        <w:rPr>
          <w:lang w:val="en-US"/>
        </w:rPr>
      </w:pPr>
      <w:proofErr w:type="spellStart"/>
      <w:r w:rsidRPr="00040332">
        <w:rPr>
          <w:lang w:val="en-US"/>
        </w:rPr>
        <w:t>ConnectPoint</w:t>
      </w:r>
      <w:proofErr w:type="spellEnd"/>
      <w:r w:rsidRPr="00040332">
        <w:rPr>
          <w:lang w:val="en-US"/>
        </w:rPr>
        <w:t xml:space="preserve">. (2025, </w:t>
      </w:r>
      <w:proofErr w:type="spellStart"/>
      <w:r w:rsidRPr="00040332">
        <w:rPr>
          <w:lang w:val="en-US"/>
        </w:rPr>
        <w:t>agosto</w:t>
      </w:r>
      <w:proofErr w:type="spellEnd"/>
      <w:r w:rsidRPr="00040332">
        <w:rPr>
          <w:lang w:val="en-US"/>
        </w:rPr>
        <w:t xml:space="preserve"> 22). 8 strategic challenges in manufacturing that you can eliminate by implementing predictive maintenance. </w:t>
      </w:r>
      <w:proofErr w:type="spellStart"/>
      <w:r w:rsidRPr="00040332">
        <w:rPr>
          <w:lang w:val="en-US"/>
        </w:rPr>
        <w:t>ConnectPoint</w:t>
      </w:r>
      <w:proofErr w:type="spellEnd"/>
      <w:r w:rsidRPr="00040332">
        <w:rPr>
          <w:lang w:val="en-US"/>
        </w:rPr>
        <w:t>.</w:t>
      </w:r>
    </w:p>
    <w:p w14:paraId="4C3863E9" w14:textId="77777777" w:rsidR="00B01B7E" w:rsidRPr="00040332" w:rsidRDefault="00000000" w:rsidP="00040332">
      <w:pPr>
        <w:pStyle w:val="Prrafodelista"/>
        <w:numPr>
          <w:ilvl w:val="0"/>
          <w:numId w:val="3"/>
        </w:numPr>
        <w:spacing w:after="120" w:line="480" w:lineRule="auto"/>
        <w:jc w:val="both"/>
        <w:rPr>
          <w:lang w:val="en-US"/>
        </w:rPr>
      </w:pPr>
      <w:proofErr w:type="spellStart"/>
      <w:r w:rsidRPr="00040332">
        <w:rPr>
          <w:lang w:val="en-US"/>
        </w:rPr>
        <w:t>dbt</w:t>
      </w:r>
      <w:proofErr w:type="spellEnd"/>
      <w:r w:rsidRPr="00040332">
        <w:rPr>
          <w:lang w:val="en-US"/>
        </w:rPr>
        <w:t xml:space="preserve"> Labs. (2026, </w:t>
      </w:r>
      <w:proofErr w:type="spellStart"/>
      <w:r w:rsidRPr="00040332">
        <w:rPr>
          <w:lang w:val="en-US"/>
        </w:rPr>
        <w:t>abril</w:t>
      </w:r>
      <w:proofErr w:type="spellEnd"/>
      <w:r w:rsidRPr="00040332">
        <w:rPr>
          <w:lang w:val="en-US"/>
        </w:rPr>
        <w:t xml:space="preserve"> 16). ETL vs ELT: What's the difference? </w:t>
      </w:r>
      <w:proofErr w:type="spellStart"/>
      <w:r w:rsidRPr="00040332">
        <w:rPr>
          <w:lang w:val="en-US"/>
        </w:rPr>
        <w:t>dbt</w:t>
      </w:r>
      <w:proofErr w:type="spellEnd"/>
      <w:r w:rsidRPr="00040332">
        <w:rPr>
          <w:lang w:val="en-US"/>
        </w:rPr>
        <w:t xml:space="preserve"> Labs.</w:t>
      </w:r>
    </w:p>
    <w:p w14:paraId="2A5DC394" w14:textId="77777777" w:rsidR="00B01B7E" w:rsidRPr="00040332" w:rsidRDefault="00000000" w:rsidP="00040332">
      <w:pPr>
        <w:pStyle w:val="Prrafodelista"/>
        <w:numPr>
          <w:ilvl w:val="0"/>
          <w:numId w:val="3"/>
        </w:numPr>
        <w:spacing w:after="120" w:line="480" w:lineRule="auto"/>
        <w:jc w:val="both"/>
        <w:rPr>
          <w:lang w:val="en-US"/>
        </w:rPr>
      </w:pPr>
      <w:r w:rsidRPr="00040332">
        <w:rPr>
          <w:lang w:val="en-US"/>
        </w:rPr>
        <w:t xml:space="preserve">Domo. (2026, </w:t>
      </w:r>
      <w:proofErr w:type="spellStart"/>
      <w:r w:rsidRPr="00040332">
        <w:rPr>
          <w:lang w:val="en-US"/>
        </w:rPr>
        <w:t>marzo</w:t>
      </w:r>
      <w:proofErr w:type="spellEnd"/>
      <w:r w:rsidRPr="00040332">
        <w:rPr>
          <w:lang w:val="en-US"/>
        </w:rPr>
        <w:t xml:space="preserve"> 25). ETL vs ELT: Key differences, use cases, and best practices. Domo.</w:t>
      </w:r>
    </w:p>
    <w:p w14:paraId="6A24C7C0" w14:textId="77777777" w:rsidR="00B01B7E" w:rsidRPr="00040332" w:rsidRDefault="00000000" w:rsidP="00040332">
      <w:pPr>
        <w:pStyle w:val="Prrafodelista"/>
        <w:numPr>
          <w:ilvl w:val="0"/>
          <w:numId w:val="3"/>
        </w:numPr>
        <w:spacing w:after="120" w:line="480" w:lineRule="auto"/>
        <w:jc w:val="both"/>
        <w:rPr>
          <w:lang w:val="en-US"/>
        </w:rPr>
      </w:pPr>
      <w:r w:rsidRPr="00040332">
        <w:rPr>
          <w:lang w:val="en-US"/>
        </w:rPr>
        <w:t>Factored AI. (2026). Case studies: Predictive analytics for downtime. Factored AI.</w:t>
      </w:r>
    </w:p>
    <w:p w14:paraId="200FF96D" w14:textId="77777777" w:rsidR="00B01B7E" w:rsidRPr="00040332" w:rsidRDefault="00000000" w:rsidP="00040332">
      <w:pPr>
        <w:pStyle w:val="Prrafodelista"/>
        <w:numPr>
          <w:ilvl w:val="0"/>
          <w:numId w:val="3"/>
        </w:numPr>
        <w:spacing w:after="120" w:line="480" w:lineRule="auto"/>
        <w:jc w:val="both"/>
        <w:rPr>
          <w:lang w:val="en-US"/>
        </w:rPr>
      </w:pPr>
      <w:proofErr w:type="spellStart"/>
      <w:r w:rsidRPr="00040332">
        <w:rPr>
          <w:lang w:val="en-US"/>
        </w:rPr>
        <w:t>FirstEigen</w:t>
      </w:r>
      <w:proofErr w:type="spellEnd"/>
      <w:r w:rsidRPr="00040332">
        <w:rPr>
          <w:lang w:val="en-US"/>
        </w:rPr>
        <w:t xml:space="preserve">. (2026, </w:t>
      </w:r>
      <w:proofErr w:type="spellStart"/>
      <w:r w:rsidRPr="00040332">
        <w:rPr>
          <w:lang w:val="en-US"/>
        </w:rPr>
        <w:t>enero</w:t>
      </w:r>
      <w:proofErr w:type="spellEnd"/>
      <w:r w:rsidRPr="00040332">
        <w:rPr>
          <w:lang w:val="en-US"/>
        </w:rPr>
        <w:t xml:space="preserve"> 27). Data mesh architecture: Principles, benefits &amp; implementation. </w:t>
      </w:r>
      <w:proofErr w:type="spellStart"/>
      <w:r w:rsidRPr="00040332">
        <w:rPr>
          <w:lang w:val="en-US"/>
        </w:rPr>
        <w:t>FirstEigen</w:t>
      </w:r>
      <w:proofErr w:type="spellEnd"/>
      <w:r w:rsidRPr="00040332">
        <w:rPr>
          <w:lang w:val="en-US"/>
        </w:rPr>
        <w:t>.</w:t>
      </w:r>
    </w:p>
    <w:p w14:paraId="1FE09AEC" w14:textId="77777777" w:rsidR="00B01B7E" w:rsidRPr="00040332" w:rsidRDefault="00000000" w:rsidP="00040332">
      <w:pPr>
        <w:pStyle w:val="Prrafodelista"/>
        <w:numPr>
          <w:ilvl w:val="0"/>
          <w:numId w:val="3"/>
        </w:numPr>
        <w:spacing w:after="120" w:line="480" w:lineRule="auto"/>
        <w:jc w:val="both"/>
        <w:rPr>
          <w:lang w:val="en-US"/>
        </w:rPr>
      </w:pPr>
      <w:r w:rsidRPr="00040332">
        <w:rPr>
          <w:lang w:val="en-US"/>
        </w:rPr>
        <w:t>IBM. (2026a). What is data engineering? IBM.</w:t>
      </w:r>
    </w:p>
    <w:p w14:paraId="06A41ECA" w14:textId="77777777" w:rsidR="00B01B7E" w:rsidRPr="00040332" w:rsidRDefault="00000000" w:rsidP="00040332">
      <w:pPr>
        <w:pStyle w:val="Prrafodelista"/>
        <w:numPr>
          <w:ilvl w:val="0"/>
          <w:numId w:val="3"/>
        </w:numPr>
        <w:spacing w:after="120" w:line="480" w:lineRule="auto"/>
        <w:jc w:val="both"/>
        <w:rPr>
          <w:lang w:val="en-US"/>
        </w:rPr>
      </w:pPr>
      <w:r w:rsidRPr="00040332">
        <w:rPr>
          <w:lang w:val="en-US"/>
        </w:rPr>
        <w:t xml:space="preserve">IBM. (2026b). Data warehouses vs. data lakes vs. data </w:t>
      </w:r>
      <w:proofErr w:type="spellStart"/>
      <w:r w:rsidRPr="00040332">
        <w:rPr>
          <w:lang w:val="en-US"/>
        </w:rPr>
        <w:t>lakehouses</w:t>
      </w:r>
      <w:proofErr w:type="spellEnd"/>
      <w:r w:rsidRPr="00040332">
        <w:rPr>
          <w:lang w:val="en-US"/>
        </w:rPr>
        <w:t>. IBM.</w:t>
      </w:r>
    </w:p>
    <w:p w14:paraId="613DD0B2" w14:textId="77777777" w:rsidR="00B01B7E" w:rsidRDefault="00000000" w:rsidP="00040332">
      <w:pPr>
        <w:pStyle w:val="Prrafodelista"/>
        <w:numPr>
          <w:ilvl w:val="0"/>
          <w:numId w:val="3"/>
        </w:numPr>
        <w:spacing w:after="120" w:line="480" w:lineRule="auto"/>
        <w:jc w:val="both"/>
      </w:pPr>
      <w:r w:rsidRPr="00040332">
        <w:rPr>
          <w:lang w:val="en-US"/>
        </w:rPr>
        <w:t xml:space="preserve">Integrate.io. (2026, </w:t>
      </w:r>
      <w:proofErr w:type="spellStart"/>
      <w:r w:rsidRPr="00040332">
        <w:rPr>
          <w:lang w:val="en-US"/>
        </w:rPr>
        <w:t>enero</w:t>
      </w:r>
      <w:proofErr w:type="spellEnd"/>
      <w:r w:rsidRPr="00040332">
        <w:rPr>
          <w:lang w:val="en-US"/>
        </w:rPr>
        <w:t xml:space="preserve"> 17). How to build data pipelines for the education industry. </w:t>
      </w:r>
      <w:r>
        <w:t>Integrate.io.</w:t>
      </w:r>
    </w:p>
    <w:p w14:paraId="1B7C280A" w14:textId="77777777" w:rsidR="00B01B7E" w:rsidRPr="00040332" w:rsidRDefault="00000000" w:rsidP="00040332">
      <w:pPr>
        <w:pStyle w:val="Prrafodelista"/>
        <w:numPr>
          <w:ilvl w:val="0"/>
          <w:numId w:val="3"/>
        </w:numPr>
        <w:spacing w:after="120" w:line="480" w:lineRule="auto"/>
        <w:jc w:val="both"/>
        <w:rPr>
          <w:lang w:val="en-US"/>
        </w:rPr>
      </w:pPr>
      <w:r>
        <w:t xml:space="preserve">Reis, J. y </w:t>
      </w:r>
      <w:proofErr w:type="spellStart"/>
      <w:r>
        <w:t>Housley</w:t>
      </w:r>
      <w:proofErr w:type="spellEnd"/>
      <w:r>
        <w:t xml:space="preserve">, M. (2023). Fundamentos de ingeniería de datos: Planifique y desarrolle sistemas robustos de datos. </w:t>
      </w:r>
      <w:proofErr w:type="spellStart"/>
      <w:r w:rsidRPr="00040332">
        <w:rPr>
          <w:lang w:val="en-US"/>
        </w:rPr>
        <w:t>Marcombo</w:t>
      </w:r>
      <w:proofErr w:type="spellEnd"/>
      <w:r w:rsidRPr="00040332">
        <w:rPr>
          <w:lang w:val="en-US"/>
        </w:rPr>
        <w:t>.</w:t>
      </w:r>
    </w:p>
    <w:p w14:paraId="0518C647" w14:textId="77777777" w:rsidR="00B01B7E" w:rsidRDefault="00000000" w:rsidP="00040332">
      <w:pPr>
        <w:pStyle w:val="Prrafodelista"/>
        <w:numPr>
          <w:ilvl w:val="0"/>
          <w:numId w:val="3"/>
        </w:numPr>
        <w:spacing w:after="120" w:line="480" w:lineRule="auto"/>
        <w:jc w:val="both"/>
      </w:pPr>
      <w:proofErr w:type="spellStart"/>
      <w:r w:rsidRPr="00040332">
        <w:rPr>
          <w:lang w:val="en-US"/>
        </w:rPr>
        <w:lastRenderedPageBreak/>
        <w:t>Striim</w:t>
      </w:r>
      <w:proofErr w:type="spellEnd"/>
      <w:r w:rsidRPr="00040332">
        <w:rPr>
          <w:lang w:val="en-US"/>
        </w:rPr>
        <w:t xml:space="preserve">. (2026). Data warehouse vs. data lake vs. data </w:t>
      </w:r>
      <w:proofErr w:type="spellStart"/>
      <w:r w:rsidRPr="00040332">
        <w:rPr>
          <w:lang w:val="en-US"/>
        </w:rPr>
        <w:t>lakehouse</w:t>
      </w:r>
      <w:proofErr w:type="spellEnd"/>
      <w:r w:rsidRPr="00040332">
        <w:rPr>
          <w:lang w:val="en-US"/>
        </w:rPr>
        <w:t xml:space="preserve">: An overview of three cloud data storage patterns. </w:t>
      </w:r>
      <w:proofErr w:type="spellStart"/>
      <w:r>
        <w:t>Striim</w:t>
      </w:r>
      <w:proofErr w:type="spellEnd"/>
      <w:r>
        <w:t>.</w:t>
      </w:r>
    </w:p>
    <w:sectPr w:rsidR="00B01B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B6E7F"/>
    <w:multiLevelType w:val="hybridMultilevel"/>
    <w:tmpl w:val="A67A3824"/>
    <w:lvl w:ilvl="0" w:tplc="26DAD00C">
      <w:start w:val="1"/>
      <w:numFmt w:val="bullet"/>
      <w:lvlText w:val="●"/>
      <w:lvlJc w:val="left"/>
      <w:pPr>
        <w:ind w:left="720" w:hanging="360"/>
      </w:pPr>
    </w:lvl>
    <w:lvl w:ilvl="1" w:tplc="1A1888E0">
      <w:start w:val="1"/>
      <w:numFmt w:val="bullet"/>
      <w:lvlText w:val="○"/>
      <w:lvlJc w:val="left"/>
      <w:pPr>
        <w:ind w:left="1440" w:hanging="360"/>
      </w:pPr>
    </w:lvl>
    <w:lvl w:ilvl="2" w:tplc="97FACD84">
      <w:start w:val="1"/>
      <w:numFmt w:val="bullet"/>
      <w:lvlText w:val="■"/>
      <w:lvlJc w:val="left"/>
      <w:pPr>
        <w:ind w:left="2160" w:hanging="360"/>
      </w:pPr>
    </w:lvl>
    <w:lvl w:ilvl="3" w:tplc="D7A0C026">
      <w:start w:val="1"/>
      <w:numFmt w:val="bullet"/>
      <w:lvlText w:val="●"/>
      <w:lvlJc w:val="left"/>
      <w:pPr>
        <w:ind w:left="2880" w:hanging="360"/>
      </w:pPr>
    </w:lvl>
    <w:lvl w:ilvl="4" w:tplc="E78A1706">
      <w:start w:val="1"/>
      <w:numFmt w:val="bullet"/>
      <w:lvlText w:val="○"/>
      <w:lvlJc w:val="left"/>
      <w:pPr>
        <w:ind w:left="3600" w:hanging="360"/>
      </w:pPr>
    </w:lvl>
    <w:lvl w:ilvl="5" w:tplc="8BB06A10">
      <w:start w:val="1"/>
      <w:numFmt w:val="bullet"/>
      <w:lvlText w:val="■"/>
      <w:lvlJc w:val="left"/>
      <w:pPr>
        <w:ind w:left="4320" w:hanging="360"/>
      </w:pPr>
    </w:lvl>
    <w:lvl w:ilvl="6" w:tplc="89586986">
      <w:start w:val="1"/>
      <w:numFmt w:val="bullet"/>
      <w:lvlText w:val="●"/>
      <w:lvlJc w:val="left"/>
      <w:pPr>
        <w:ind w:left="5040" w:hanging="360"/>
      </w:pPr>
    </w:lvl>
    <w:lvl w:ilvl="7" w:tplc="ACDE4402">
      <w:start w:val="1"/>
      <w:numFmt w:val="bullet"/>
      <w:lvlText w:val="●"/>
      <w:lvlJc w:val="left"/>
      <w:pPr>
        <w:ind w:left="5760" w:hanging="360"/>
      </w:pPr>
    </w:lvl>
    <w:lvl w:ilvl="8" w:tplc="758AAED4">
      <w:start w:val="1"/>
      <w:numFmt w:val="bullet"/>
      <w:lvlText w:val="●"/>
      <w:lvlJc w:val="left"/>
      <w:pPr>
        <w:ind w:left="6480" w:hanging="360"/>
      </w:pPr>
    </w:lvl>
  </w:abstractNum>
  <w:abstractNum w:abstractNumId="1" w15:restartNumberingAfterBreak="0">
    <w:nsid w:val="55155982"/>
    <w:multiLevelType w:val="hybridMultilevel"/>
    <w:tmpl w:val="42C858F2"/>
    <w:lvl w:ilvl="0" w:tplc="B0960B50">
      <w:start w:val="1"/>
      <w:numFmt w:val="bullet"/>
      <w:lvlText w:val="•"/>
      <w:lvlJc w:val="left"/>
      <w:pPr>
        <w:ind w:left="720" w:hanging="360"/>
      </w:pPr>
    </w:lvl>
    <w:lvl w:ilvl="1" w:tplc="7C3EC444">
      <w:numFmt w:val="decimal"/>
      <w:lvlText w:val=""/>
      <w:lvlJc w:val="left"/>
    </w:lvl>
    <w:lvl w:ilvl="2" w:tplc="0BDAEC46">
      <w:numFmt w:val="decimal"/>
      <w:lvlText w:val=""/>
      <w:lvlJc w:val="left"/>
    </w:lvl>
    <w:lvl w:ilvl="3" w:tplc="B7BAFD0E">
      <w:numFmt w:val="decimal"/>
      <w:lvlText w:val=""/>
      <w:lvlJc w:val="left"/>
    </w:lvl>
    <w:lvl w:ilvl="4" w:tplc="BE9CDE6E">
      <w:numFmt w:val="decimal"/>
      <w:lvlText w:val=""/>
      <w:lvlJc w:val="left"/>
    </w:lvl>
    <w:lvl w:ilvl="5" w:tplc="BAB68B30">
      <w:numFmt w:val="decimal"/>
      <w:lvlText w:val=""/>
      <w:lvlJc w:val="left"/>
    </w:lvl>
    <w:lvl w:ilvl="6" w:tplc="22B6E87C">
      <w:numFmt w:val="decimal"/>
      <w:lvlText w:val=""/>
      <w:lvlJc w:val="left"/>
    </w:lvl>
    <w:lvl w:ilvl="7" w:tplc="700CF730">
      <w:numFmt w:val="decimal"/>
      <w:lvlText w:val=""/>
      <w:lvlJc w:val="left"/>
    </w:lvl>
    <w:lvl w:ilvl="8" w:tplc="9FB2DCBC">
      <w:numFmt w:val="decimal"/>
      <w:lvlText w:val=""/>
      <w:lvlJc w:val="left"/>
    </w:lvl>
  </w:abstractNum>
  <w:abstractNum w:abstractNumId="2" w15:restartNumberingAfterBreak="0">
    <w:nsid w:val="62070549"/>
    <w:multiLevelType w:val="hybridMultilevel"/>
    <w:tmpl w:val="F672FCD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673874464">
    <w:abstractNumId w:val="0"/>
    <w:lvlOverride w:ilvl="0">
      <w:startOverride w:val="1"/>
    </w:lvlOverride>
  </w:num>
  <w:num w:numId="2" w16cid:durableId="283583306">
    <w:abstractNumId w:val="1"/>
    <w:lvlOverride w:ilvl="0">
      <w:startOverride w:val="1"/>
    </w:lvlOverride>
  </w:num>
  <w:num w:numId="3" w16cid:durableId="87119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7E"/>
    <w:rsid w:val="00040332"/>
    <w:rsid w:val="003374DA"/>
    <w:rsid w:val="00B01B7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715C"/>
  <w15:docId w15:val="{65D9DA3F-CDFA-4697-90B8-1505587B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pPr>
      <w:spacing w:before="200" w:after="100"/>
      <w:outlineLvl w:val="1"/>
    </w:pPr>
    <w:rPr>
      <w:b/>
      <w:bCs/>
      <w:color w:val="000000"/>
    </w:rPr>
  </w:style>
  <w:style w:type="paragraph" w:styleId="Ttulo3">
    <w:name w:val="heading 3"/>
    <w:uiPriority w:val="9"/>
    <w:unhideWhenUsed/>
    <w:qFormat/>
    <w:pPr>
      <w:spacing w:before="180" w:after="8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2051</Words>
  <Characters>11286</Characters>
  <Application>Microsoft Office Word</Application>
  <DocSecurity>0</DocSecurity>
  <Lines>94</Lines>
  <Paragraphs>26</Paragraphs>
  <ScaleCrop>false</ScaleCrop>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Byron Daniel Córdova Romero</cp:lastModifiedBy>
  <cp:revision>2</cp:revision>
  <dcterms:created xsi:type="dcterms:W3CDTF">2026-05-08T12:06:00Z</dcterms:created>
  <dcterms:modified xsi:type="dcterms:W3CDTF">2026-05-08T12:06:00Z</dcterms:modified>
</cp:coreProperties>
</file>