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A5F"/>
          <w:sz w:val="40"/>
        </w:rPr>
        <w:t>Akron Pulse</w:t>
      </w:r>
    </w:p>
    <w:p>
      <w:pPr>
        <w:spacing w:after="40"/>
      </w:pPr>
      <w:r>
        <w:rPr>
          <w:rFonts w:ascii="Arial" w:hAnsi="Arial"/>
          <w:b/>
          <w:color w:val="2E75B6"/>
          <w:sz w:val="26"/>
        </w:rPr>
        <w:t>Infrastructure Cost Analysis &amp; Grant Budget</w:t>
      </w:r>
    </w:p>
    <w:p>
      <w:pPr>
        <w:spacing w:after="200"/>
        <w:pBdr>
          <w:bottom w:val="single" w:sz="8" w:space="6" w:color="2E75B6"/>
        </w:pBdr>
      </w:pPr>
      <w:r>
        <w:rPr>
          <w:rFonts w:ascii="Arial" w:hAnsi="Arial"/>
          <w:i/>
          <w:color w:val="555555"/>
          <w:sz w:val="19"/>
        </w:rPr>
        <w:t>Operating-cost projection across realistic Akron-only demand   ·   June 2026</w:t>
      </w:r>
    </w:p>
    <w:p>
      <w:pPr>
        <w:spacing w:before="260" w:after="120"/>
        <w:pBdr>
          <w:bottom w:val="single" w:sz="4" w:space="4" w:color="DCE6F1"/>
        </w:pBdr>
      </w:pPr>
      <w:r>
        <w:rPr>
          <w:rFonts w:ascii="Arial" w:hAnsi="Arial"/>
          <w:b/>
          <w:color w:val="1F3A5F"/>
          <w:sz w:val="28"/>
        </w:rPr>
        <w:t>Executive Summary</w:t>
      </w:r>
    </w:p>
    <w:p>
      <w:pPr>
        <w:spacing w:after="160" w:before="0" w:line="276" w:lineRule="auto"/>
      </w:pPr>
      <w:r>
        <w:rPr>
          <w:rFonts w:ascii="Arial" w:hAnsi="Arial"/>
          <w:b w:val="0"/>
          <w:i w:val="0"/>
          <w:color w:val="222222"/>
          <w:sz w:val="21"/>
        </w:rPr>
        <w:t xml:space="preserve">Akron Pulse is an open-source community events calendar built on a deliberately lean, low-cost architecture: a statically-served single-page application on Vercel, a Postgres database on Supabase read directly by the browser, optional Mapbox maps, and roughly sixty-five scrapers that refresh the catalog twice a day. This analysis models what it would cost to operate that platform as usage grows, with particular attention to the white-label </w:t>
      </w:r>
      <w:r>
        <w:rPr>
          <w:rFonts w:ascii="Arial" w:hAnsi="Arial"/>
          <w:b w:val="0"/>
          <w:i/>
          <w:color w:val="222222"/>
          <w:sz w:val="21"/>
        </w:rPr>
        <w:t>embed</w:t>
      </w:r>
      <w:r>
        <w:rPr>
          <w:rFonts w:ascii="Arial" w:hAnsi="Arial"/>
          <w:b w:val="0"/>
          <w:i w:val="0"/>
          <w:color w:val="222222"/>
          <w:sz w:val="21"/>
        </w:rPr>
        <w:t xml:space="preserve"> feature, and grounds every demand assumption in real Akron numbers.</w:t>
      </w:r>
    </w:p>
    <w:p>
      <w:pPr>
        <w:spacing w:after="160" w:before="0" w:line="276" w:lineRule="auto"/>
      </w:pPr>
      <w:r>
        <w:rPr>
          <w:rFonts w:ascii="Arial" w:hAnsi="Arial"/>
          <w:b w:val="0"/>
          <w:i w:val="0"/>
          <w:color w:val="222222"/>
          <w:sz w:val="21"/>
        </w:rPr>
        <w:t xml:space="preserve">The central finding is reassuring: across the entire realistic range of demand for a city of Akron's size, projected resource consumption stays </w:t>
      </w:r>
      <w:r>
        <w:rPr>
          <w:rFonts w:ascii="Arial" w:hAnsi="Arial"/>
          <w:b/>
          <w:i w:val="0"/>
          <w:color w:val="222222"/>
          <w:sz w:val="21"/>
        </w:rPr>
        <w:t>within the included allowances</w:t>
      </w:r>
      <w:r>
        <w:rPr>
          <w:rFonts w:ascii="Arial" w:hAnsi="Arial"/>
          <w:b w:val="0"/>
          <w:i w:val="0"/>
          <w:color w:val="222222"/>
          <w:sz w:val="21"/>
        </w:rPr>
        <w:t xml:space="preserve"> of the standard paid plans. The platform behaves as a near-flat cost of roughly </w:t>
      </w:r>
      <w:r>
        <w:rPr>
          <w:rFonts w:ascii="Arial" w:hAnsi="Arial"/>
          <w:b/>
          <w:i w:val="0"/>
          <w:color w:val="222222"/>
          <w:sz w:val="21"/>
        </w:rPr>
        <w:t>$50 to $75 per month</w:t>
      </w:r>
      <w:r>
        <w:rPr>
          <w:rFonts w:ascii="Arial" w:hAnsi="Arial"/>
          <w:b w:val="0"/>
          <w:i w:val="0"/>
          <w:color w:val="222222"/>
          <w:sz w:val="21"/>
        </w:rPr>
        <w:t xml:space="preserve"> (about </w:t>
      </w:r>
      <w:r>
        <w:rPr>
          <w:rFonts w:ascii="Arial" w:hAnsi="Arial"/>
          <w:b/>
          <w:i w:val="0"/>
          <w:color w:val="222222"/>
          <w:sz w:val="21"/>
        </w:rPr>
        <w:t>$880 per year</w:t>
      </w:r>
      <w:r>
        <w:rPr>
          <w:rFonts w:ascii="Arial" w:hAnsi="Arial"/>
          <w:b w:val="0"/>
          <w:i w:val="0"/>
          <w:color w:val="222222"/>
          <w:sz w:val="21"/>
        </w:rPr>
        <w:t xml:space="preserve"> including a 25% contingency buffer), and that figure barely moves between a quiet launch and an optimistic ceiling where the site has saturated its engaged Akron audience. Cost only becomes material in a deliberately unrealistic </w:t>
      </w:r>
      <w:r>
        <w:rPr>
          <w:rFonts w:ascii="Arial" w:hAnsi="Arial"/>
          <w:b w:val="0"/>
          <w:i/>
          <w:color w:val="222222"/>
          <w:sz w:val="21"/>
        </w:rPr>
        <w:t>beyond-Akron</w:t>
      </w:r>
      <w:r>
        <w:rPr>
          <w:rFonts w:ascii="Arial" w:hAnsi="Arial"/>
          <w:b w:val="0"/>
          <w:i w:val="0"/>
          <w:color w:val="222222"/>
          <w:sz w:val="21"/>
        </w:rPr>
        <w:t xml:space="preserve"> stress scenario that the city's population cannot produce.</w:t>
      </w:r>
    </w:p>
    <w:p>
      <w:pPr>
        <w:spacing w:after="160" w:before="0" w:line="276" w:lineRule="auto"/>
      </w:pPr>
      <w:r>
        <w:rPr>
          <w:rFonts w:ascii="Arial" w:hAnsi="Arial"/>
          <w:b w:val="0"/>
          <w:i w:val="0"/>
          <w:color w:val="222222"/>
          <w:sz w:val="21"/>
        </w:rPr>
        <w:t xml:space="preserve">On the embed concern specifically: an embed impression is </w:t>
      </w:r>
      <w:r>
        <w:rPr>
          <w:rFonts w:ascii="Arial" w:hAnsi="Arial"/>
          <w:b/>
          <w:i w:val="0"/>
          <w:color w:val="222222"/>
          <w:sz w:val="21"/>
        </w:rPr>
        <w:t>cheaper</w:t>
      </w:r>
      <w:r>
        <w:rPr>
          <w:rFonts w:ascii="Arial" w:hAnsi="Arial"/>
          <w:b w:val="0"/>
          <w:i w:val="0"/>
          <w:color w:val="222222"/>
          <w:sz w:val="21"/>
        </w:rPr>
        <w:t xml:space="preserve"> than an ordinary site visit, not more expensive. It loads the same CDN-cached application shell (near-zero marginal bandwidth) and a single events query, with no map by default. One million embed impressions per month, far beyond what Akron's likely embed partners could generate, consume well under the included Vercel bandwidth and Supabase egress. Embeds do not introduce an uncontrolled cost.</w:t>
      </w:r>
    </w:p>
    <w:p>
      <w:pPr>
        <w:spacing w:after="160" w:before="0" w:line="276" w:lineRule="auto"/>
      </w:pPr>
      <w:r>
        <w:rPr>
          <w:rFonts w:ascii="Arial" w:hAnsi="Arial"/>
          <w:b/>
          <w:i w:val="0"/>
          <w:color w:val="222222"/>
          <w:sz w:val="21"/>
        </w:rPr>
        <w:t xml:space="preserve">Recommended grant figure: </w:t>
      </w:r>
      <w:r>
        <w:rPr>
          <w:rFonts w:ascii="Arial" w:hAnsi="Arial"/>
          <w:b w:val="0"/>
          <w:i w:val="0"/>
          <w:color w:val="222222"/>
          <w:sz w:val="21"/>
        </w:rPr>
        <w:t xml:space="preserve">an annual operating budget of </w:t>
      </w:r>
      <w:r>
        <w:rPr>
          <w:rFonts w:ascii="Arial" w:hAnsi="Arial"/>
          <w:b/>
          <w:i w:val="0"/>
          <w:color w:val="222222"/>
          <w:sz w:val="21"/>
        </w:rPr>
        <w:t>$880</w:t>
      </w:r>
      <w:r>
        <w:rPr>
          <w:rFonts w:ascii="Arial" w:hAnsi="Arial"/>
          <w:b w:val="0"/>
          <w:i w:val="0"/>
          <w:color w:val="222222"/>
          <w:sz w:val="21"/>
        </w:rPr>
        <w:t xml:space="preserve"> for infrastructure (Mature scenario, with contingency), or </w:t>
      </w:r>
      <w:r>
        <w:rPr>
          <w:rFonts w:ascii="Arial" w:hAnsi="Arial"/>
          <w:b/>
          <w:i w:val="0"/>
          <w:color w:val="222222"/>
          <w:sz w:val="21"/>
        </w:rPr>
        <w:t>$5,680</w:t>
      </w:r>
      <w:r>
        <w:rPr>
          <w:rFonts w:ascii="Arial" w:hAnsi="Arial"/>
          <w:b w:val="0"/>
          <w:i w:val="0"/>
          <w:color w:val="222222"/>
          <w:sz w:val="21"/>
        </w:rPr>
        <w:t xml:space="preserve"> all-in if the funder wishes to value the maintainer's donated time. A three-year request is approximately </w:t>
      </w:r>
      <w:r>
        <w:rPr>
          <w:rFonts w:ascii="Arial" w:hAnsi="Arial"/>
          <w:b/>
          <w:i w:val="0"/>
          <w:color w:val="222222"/>
          <w:sz w:val="21"/>
        </w:rPr>
        <w:t>$2,640</w:t>
      </w:r>
      <w:r>
        <w:rPr>
          <w:rFonts w:ascii="Arial" w:hAnsi="Arial"/>
          <w:b w:val="0"/>
          <w:i w:val="0"/>
          <w:color w:val="222222"/>
          <w:sz w:val="21"/>
        </w:rPr>
        <w:t xml:space="preserve"> (infrastructure) or </w:t>
      </w:r>
      <w:r>
        <w:rPr>
          <w:rFonts w:ascii="Arial" w:hAnsi="Arial"/>
          <w:b/>
          <w:i w:val="0"/>
          <w:color w:val="222222"/>
          <w:sz w:val="21"/>
        </w:rPr>
        <w:t>$17,040</w:t>
      </w:r>
      <w:r>
        <w:rPr>
          <w:rFonts w:ascii="Arial" w:hAnsi="Arial"/>
          <w:b w:val="0"/>
          <w:i w:val="0"/>
          <w:color w:val="222222"/>
          <w:sz w:val="21"/>
        </w:rPr>
        <w:t xml:space="preserve"> (all-in). These figures are intentionally conservative and carry headroom.</w:t>
      </w:r>
    </w:p>
    <w:p>
      <w:pPr>
        <w:spacing w:before="260" w:after="120"/>
        <w:pBdr>
          <w:bottom w:val="single" w:sz="4" w:space="4" w:color="DCE6F1"/>
        </w:pBdr>
      </w:pPr>
      <w:r>
        <w:rPr>
          <w:rFonts w:ascii="Arial" w:hAnsi="Arial"/>
          <w:b/>
          <w:color w:val="1F3A5F"/>
          <w:sz w:val="28"/>
        </w:rPr>
        <w:t>Methodology &amp; Scope</w:t>
      </w:r>
    </w:p>
    <w:p>
      <w:pPr>
        <w:spacing w:after="160" w:before="0" w:line="276" w:lineRule="auto"/>
      </w:pPr>
      <w:r>
        <w:rPr>
          <w:rFonts w:ascii="Arial" w:hAnsi="Arial"/>
          <w:b w:val="0"/>
          <w:i w:val="0"/>
          <w:color w:val="222222"/>
          <w:sz w:val="21"/>
        </w:rPr>
        <w:t>The model is built bottom-up. First, each billable service and its 2026 pricing and included allowances were identified from the codebase and confirmed against current vendor pricing. Second, the resource consumed by a single site visit and a single embed impression was estimated from the application's actual data-fetching behavior. Third, those unit figures were multiplied across demand scenarios whose ceilings are anchored to Akron's real population and observed local-audience sizes. The accompanying spreadsheet (</w:t>
      </w:r>
      <w:r>
        <w:rPr>
          <w:rFonts w:ascii="Arial" w:hAnsi="Arial"/>
          <w:b w:val="0"/>
          <w:i/>
          <w:color w:val="222222"/>
          <w:sz w:val="21"/>
        </w:rPr>
        <w:t>akron-pulse-cost-model.xlsx</w:t>
      </w:r>
      <w:r>
        <w:rPr>
          <w:rFonts w:ascii="Arial" w:hAnsi="Arial"/>
          <w:b w:val="0"/>
          <w:i w:val="0"/>
          <w:color w:val="222222"/>
          <w:sz w:val="21"/>
        </w:rPr>
        <w:t>) contains every assumption as an editable input so the numbers can be re-run as prices or traffic change.</w:t>
      </w:r>
    </w:p>
    <w:p>
      <w:pPr>
        <w:spacing w:after="160" w:before="0" w:line="276" w:lineRule="auto"/>
      </w:pPr>
      <w:r>
        <w:rPr>
          <w:rFonts w:ascii="Arial" w:hAnsi="Arial"/>
          <w:b w:val="0"/>
          <w:i w:val="0"/>
          <w:color w:val="222222"/>
          <w:sz w:val="21"/>
        </w:rPr>
        <w:t>Scope is Akron-only, per direction. No regional or statewide expansion is modeled. The analysis covers infrastructure, third-party data and email, and an optional valued-labor line; it does not attempt to price one-time development already completed.</w:t>
      </w:r>
    </w:p>
    <w:p>
      <w:pPr>
        <w:spacing w:before="260" w:after="120"/>
        <w:pBdr>
          <w:bottom w:val="single" w:sz="4" w:space="4" w:color="DCE6F1"/>
        </w:pBdr>
      </w:pPr>
      <w:r>
        <w:rPr>
          <w:rFonts w:ascii="Arial" w:hAnsi="Arial"/>
          <w:b/>
          <w:color w:val="1F3A5F"/>
          <w:sz w:val="28"/>
        </w:rPr>
        <w:t>The Platform and Its Cost Drivers</w:t>
      </w:r>
    </w:p>
    <w:p>
      <w:pPr>
        <w:spacing w:after="160" w:before="0" w:line="276" w:lineRule="auto"/>
      </w:pPr>
      <w:r>
        <w:rPr>
          <w:rFonts w:ascii="Arial" w:hAnsi="Arial"/>
          <w:b w:val="0"/>
          <w:i w:val="0"/>
          <w:color w:val="222222"/>
          <w:sz w:val="21"/>
        </w:rPr>
        <w:t>Five services can incur cost. Their roles and why each stays small at Akron scale: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500"/>
            <w:shd w:val="clear" w:fill="1F3A5F"/>
            <w:tcMar>
              <w:top w:w="60" w:type="dxa"/>
              <w:bottom w:w="60" w:type="dxa"/>
              <w:start w:w="110" w:type="dxa"/>
              <w:end w:w="110" w:type="dxa"/>
            </w:tcMar>
          </w:tcPr>
          <w:p>
            <w:pPr>
              <w:jc w:val="left"/>
            </w:pPr>
            <w:r>
              <w:rPr>
                <w:rFonts w:ascii="Arial" w:hAnsi="Arial"/>
                <w:b/>
                <w:color w:val="FFFFFF"/>
                <w:sz w:val="19"/>
              </w:rPr>
              <w:t>Service</w:t>
            </w:r>
          </w:p>
        </w:tc>
        <w:tc>
          <w:tcPr>
            <w:tcW w:type="dxa" w:w="4030"/>
            <w:shd w:val="clear" w:fill="1F3A5F"/>
            <w:tcMar>
              <w:top w:w="60" w:type="dxa"/>
              <w:bottom w:w="60" w:type="dxa"/>
              <w:start w:w="110" w:type="dxa"/>
              <w:end w:w="110" w:type="dxa"/>
            </w:tcMar>
          </w:tcPr>
          <w:p>
            <w:pPr>
              <w:jc w:val="right"/>
            </w:pPr>
            <w:r>
              <w:rPr>
                <w:rFonts w:ascii="Arial" w:hAnsi="Arial"/>
                <w:b/>
                <w:color w:val="FFFFFF"/>
                <w:sz w:val="19"/>
              </w:rPr>
              <w:t>Role</w:t>
            </w:r>
          </w:p>
        </w:tc>
        <w:tc>
          <w:tcPr>
            <w:tcW w:type="dxa" w:w="3830"/>
            <w:shd w:val="clear" w:fill="1F3A5F"/>
            <w:tcMar>
              <w:top w:w="60" w:type="dxa"/>
              <w:bottom w:w="60" w:type="dxa"/>
              <w:start w:w="110" w:type="dxa"/>
              <w:end w:w="110" w:type="dxa"/>
            </w:tcMar>
          </w:tcPr>
          <w:p>
            <w:pPr>
              <w:jc w:val="right"/>
            </w:pPr>
            <w:r>
              <w:rPr>
                <w:rFonts w:ascii="Arial" w:hAnsi="Arial"/>
                <w:b/>
                <w:color w:val="FFFFFF"/>
                <w:sz w:val="19"/>
              </w:rPr>
              <w:t>Why it stays cheap</w:t>
            </w:r>
          </w:p>
        </w:tc>
      </w:tr>
      <w:tr>
        <w:tc>
          <w:tcPr>
            <w:tcW w:type="dxa" w:w="1500"/>
            <w:shd w:val="clear" w:fill="FFFFFF"/>
            <w:tcMar>
              <w:top w:w="60" w:type="dxa"/>
              <w:bottom w:w="60" w:type="dxa"/>
              <w:start w:w="110" w:type="dxa"/>
              <w:end w:w="110" w:type="dxa"/>
            </w:tcMar>
          </w:tcPr>
          <w:p>
            <w:pPr>
              <w:jc w:val="left"/>
            </w:pPr>
            <w:r>
              <w:rPr>
                <w:rFonts w:ascii="Arial" w:hAnsi="Arial"/>
                <w:b w:val="0"/>
                <w:color w:val="222222"/>
                <w:sz w:val="19"/>
              </w:rPr>
              <w:t>Vercel</w:t>
            </w:r>
          </w:p>
        </w:tc>
        <w:tc>
          <w:tcPr>
            <w:tcW w:type="dxa" w:w="4030"/>
            <w:shd w:val="clear" w:fill="FFFFFF"/>
            <w:tcMar>
              <w:top w:w="60" w:type="dxa"/>
              <w:bottom w:w="60" w:type="dxa"/>
              <w:start w:w="110" w:type="dxa"/>
              <w:end w:w="110" w:type="dxa"/>
            </w:tcMar>
          </w:tcPr>
          <w:p>
            <w:pPr>
              <w:jc w:val="right"/>
            </w:pPr>
            <w:r>
              <w:rPr>
                <w:rFonts w:ascii="Arial" w:hAnsi="Arial"/>
                <w:b w:val="0"/>
                <w:color w:val="222222"/>
                <w:sz w:val="19"/>
              </w:rPr>
              <w:t>Hosts and serves the app; runs edge functions for sitemap, feeds, social preview images.</w:t>
            </w:r>
          </w:p>
        </w:tc>
        <w:tc>
          <w:tcPr>
            <w:tcW w:type="dxa" w:w="3830"/>
            <w:shd w:val="clear" w:fill="FFFFFF"/>
            <w:tcMar>
              <w:top w:w="60" w:type="dxa"/>
              <w:bottom w:w="60" w:type="dxa"/>
              <w:start w:w="110" w:type="dxa"/>
              <w:end w:w="110" w:type="dxa"/>
            </w:tcMar>
          </w:tcPr>
          <w:p>
            <w:pPr>
              <w:jc w:val="right"/>
            </w:pPr>
            <w:r>
              <w:rPr>
                <w:rFonts w:ascii="Arial" w:hAnsi="Arial"/>
                <w:b w:val="0"/>
                <w:color w:val="222222"/>
                <w:sz w:val="19"/>
              </w:rPr>
              <w:t>App shell and assets are CDN-cached; the default events page is edge-cached for 5 min, so most loads never touch a server.</w:t>
            </w:r>
          </w:p>
        </w:tc>
      </w:tr>
      <w:tr>
        <w:tc>
          <w:tcPr>
            <w:tcW w:type="dxa" w:w="1500"/>
            <w:shd w:val="clear" w:fill="F4F7FB"/>
            <w:tcMar>
              <w:top w:w="60" w:type="dxa"/>
              <w:bottom w:w="60" w:type="dxa"/>
              <w:start w:w="110" w:type="dxa"/>
              <w:end w:w="110" w:type="dxa"/>
            </w:tcMar>
          </w:tcPr>
          <w:p>
            <w:pPr>
              <w:jc w:val="left"/>
            </w:pPr>
            <w:r>
              <w:rPr>
                <w:rFonts w:ascii="Arial" w:hAnsi="Arial"/>
                <w:b w:val="0"/>
                <w:color w:val="222222"/>
                <w:sz w:val="19"/>
              </w:rPr>
              <w:t>Supabase</w:t>
            </w:r>
          </w:p>
        </w:tc>
        <w:tc>
          <w:tcPr>
            <w:tcW w:type="dxa" w:w="4030"/>
            <w:shd w:val="clear" w:fill="F4F7FB"/>
            <w:tcMar>
              <w:top w:w="60" w:type="dxa"/>
              <w:bottom w:w="60" w:type="dxa"/>
              <w:start w:w="110" w:type="dxa"/>
              <w:end w:w="110" w:type="dxa"/>
            </w:tcMar>
          </w:tcPr>
          <w:p>
            <w:pPr>
              <w:jc w:val="right"/>
            </w:pPr>
            <w:r>
              <w:rPr>
                <w:rFonts w:ascii="Arial" w:hAnsi="Arial"/>
                <w:b w:val="0"/>
                <w:color w:val="222222"/>
                <w:sz w:val="19"/>
              </w:rPr>
              <w:t>Postgres database the browser queries directly for events.</w:t>
            </w:r>
          </w:p>
        </w:tc>
        <w:tc>
          <w:tcPr>
            <w:tcW w:type="dxa" w:w="3830"/>
            <w:shd w:val="clear" w:fill="F4F7FB"/>
            <w:tcMar>
              <w:top w:w="60" w:type="dxa"/>
              <w:bottom w:w="60" w:type="dxa"/>
              <w:start w:w="110" w:type="dxa"/>
              <w:end w:w="110" w:type="dxa"/>
            </w:tcMar>
          </w:tcPr>
          <w:p>
            <w:pPr>
              <w:jc w:val="right"/>
            </w:pPr>
            <w:r>
              <w:rPr>
                <w:rFonts w:ascii="Arial" w:hAnsi="Arial"/>
                <w:b w:val="0"/>
                <w:color w:val="222222"/>
                <w:sz w:val="19"/>
              </w:rPr>
              <w:t>List payloads are trimmed (no description/search columns); the first page is served from Vercel's cache, not the database.</w:t>
            </w:r>
          </w:p>
        </w:tc>
      </w:tr>
      <w:tr>
        <w:tc>
          <w:tcPr>
            <w:tcW w:type="dxa" w:w="1500"/>
            <w:shd w:val="clear" w:fill="FFFFFF"/>
            <w:tcMar>
              <w:top w:w="60" w:type="dxa"/>
              <w:bottom w:w="60" w:type="dxa"/>
              <w:start w:w="110" w:type="dxa"/>
              <w:end w:w="110" w:type="dxa"/>
            </w:tcMar>
          </w:tcPr>
          <w:p>
            <w:pPr>
              <w:jc w:val="left"/>
            </w:pPr>
            <w:r>
              <w:rPr>
                <w:rFonts w:ascii="Arial" w:hAnsi="Arial"/>
                <w:b w:val="0"/>
                <w:color w:val="222222"/>
                <w:sz w:val="19"/>
              </w:rPr>
              <w:t>Mapbox</w:t>
            </w:r>
          </w:p>
        </w:tc>
        <w:tc>
          <w:tcPr>
            <w:tcW w:type="dxa" w:w="4030"/>
            <w:shd w:val="clear" w:fill="FFFFFF"/>
            <w:tcMar>
              <w:top w:w="60" w:type="dxa"/>
              <w:bottom w:w="60" w:type="dxa"/>
              <w:start w:w="110" w:type="dxa"/>
              <w:end w:w="110" w:type="dxa"/>
            </w:tcMar>
          </w:tcPr>
          <w:p>
            <w:pPr>
              <w:jc w:val="right"/>
            </w:pPr>
            <w:r>
              <w:rPr>
                <w:rFonts w:ascii="Arial" w:hAnsi="Arial"/>
                <w:b w:val="0"/>
                <w:color w:val="222222"/>
                <w:sz w:val="19"/>
              </w:rPr>
              <w:t>Renders the optional map view.</w:t>
            </w:r>
          </w:p>
        </w:tc>
        <w:tc>
          <w:tcPr>
            <w:tcW w:type="dxa" w:w="3830"/>
            <w:shd w:val="clear" w:fill="FFFFFF"/>
            <w:tcMar>
              <w:top w:w="60" w:type="dxa"/>
              <w:bottom w:w="60" w:type="dxa"/>
              <w:start w:w="110" w:type="dxa"/>
              <w:end w:w="110" w:type="dxa"/>
            </w:tcMar>
          </w:tcPr>
          <w:p>
            <w:pPr>
              <w:jc w:val="right"/>
            </w:pPr>
            <w:r>
              <w:rPr>
                <w:rFonts w:ascii="Arial" w:hAnsi="Arial"/>
                <w:b w:val="0"/>
                <w:color w:val="222222"/>
                <w:sz w:val="19"/>
              </w:rPr>
              <w:t>The map is off by default; only a minority of sessions toggle it, so most visits cost zero map loads.</w:t>
            </w:r>
          </w:p>
        </w:tc>
      </w:tr>
      <w:tr>
        <w:tc>
          <w:tcPr>
            <w:tcW w:type="dxa" w:w="1500"/>
            <w:shd w:val="clear" w:fill="F4F7FB"/>
            <w:tcMar>
              <w:top w:w="60" w:type="dxa"/>
              <w:bottom w:w="60" w:type="dxa"/>
              <w:start w:w="110" w:type="dxa"/>
              <w:end w:w="110" w:type="dxa"/>
            </w:tcMar>
          </w:tcPr>
          <w:p>
            <w:pPr>
              <w:jc w:val="left"/>
            </w:pPr>
            <w:r>
              <w:rPr>
                <w:rFonts w:ascii="Arial" w:hAnsi="Arial"/>
                <w:b w:val="0"/>
                <w:color w:val="222222"/>
                <w:sz w:val="19"/>
              </w:rPr>
              <w:t>Email / scrapers</w:t>
            </w:r>
          </w:p>
        </w:tc>
        <w:tc>
          <w:tcPr>
            <w:tcW w:type="dxa" w:w="4030"/>
            <w:shd w:val="clear" w:fill="F4F7FB"/>
            <w:tcMar>
              <w:top w:w="60" w:type="dxa"/>
              <w:bottom w:w="60" w:type="dxa"/>
              <w:start w:w="110" w:type="dxa"/>
              <w:end w:w="110" w:type="dxa"/>
            </w:tcMar>
          </w:tcPr>
          <w:p>
            <w:pPr>
              <w:jc w:val="right"/>
            </w:pPr>
            <w:r>
              <w:rPr>
                <w:rFonts w:ascii="Arial" w:hAnsi="Arial"/>
                <w:b w:val="0"/>
                <w:color w:val="222222"/>
                <w:sz w:val="19"/>
              </w:rPr>
              <w:t>Twice-daily catalog refresh; optional digest email.</w:t>
            </w:r>
          </w:p>
        </w:tc>
        <w:tc>
          <w:tcPr>
            <w:tcW w:type="dxa" w:w="3830"/>
            <w:shd w:val="clear" w:fill="F4F7FB"/>
            <w:tcMar>
              <w:top w:w="60" w:type="dxa"/>
              <w:bottom w:w="60" w:type="dxa"/>
              <w:start w:w="110" w:type="dxa"/>
              <w:end w:w="110" w:type="dxa"/>
            </w:tcMar>
          </w:tcPr>
          <w:p>
            <w:pPr>
              <w:jc w:val="right"/>
            </w:pPr>
            <w:r>
              <w:rPr>
                <w:rFonts w:ascii="Arial" w:hAnsi="Arial"/>
                <w:b w:val="0"/>
                <w:color w:val="222222"/>
                <w:sz w:val="19"/>
              </w:rPr>
              <w:t>Scrapers run on a small fixed-cost scheduler regardless of traffic; email is unwired today.</w:t>
            </w:r>
          </w:p>
        </w:tc>
      </w:tr>
      <w:tr>
        <w:tc>
          <w:tcPr>
            <w:tcW w:type="dxa" w:w="1500"/>
            <w:shd w:val="clear" w:fill="FFFFFF"/>
            <w:tcMar>
              <w:top w:w="60" w:type="dxa"/>
              <w:bottom w:w="60" w:type="dxa"/>
              <w:start w:w="110" w:type="dxa"/>
              <w:end w:w="110" w:type="dxa"/>
            </w:tcMar>
          </w:tcPr>
          <w:p>
            <w:pPr>
              <w:jc w:val="left"/>
            </w:pPr>
            <w:r>
              <w:rPr>
                <w:rFonts w:ascii="Arial" w:hAnsi="Arial"/>
                <w:b w:val="0"/>
                <w:color w:val="222222"/>
                <w:sz w:val="19"/>
              </w:rPr>
              <w:t>Monitoring / domain</w:t>
            </w:r>
          </w:p>
        </w:tc>
        <w:tc>
          <w:tcPr>
            <w:tcW w:type="dxa" w:w="4030"/>
            <w:shd w:val="clear" w:fill="FFFFFF"/>
            <w:tcMar>
              <w:top w:w="60" w:type="dxa"/>
              <w:bottom w:w="60" w:type="dxa"/>
              <w:start w:w="110" w:type="dxa"/>
              <w:end w:w="110" w:type="dxa"/>
            </w:tcMar>
          </w:tcPr>
          <w:p>
            <w:pPr>
              <w:jc w:val="right"/>
            </w:pPr>
            <w:r>
              <w:rPr>
                <w:rFonts w:ascii="Arial" w:hAnsi="Arial"/>
                <w:b w:val="0"/>
                <w:color w:val="222222"/>
                <w:sz w:val="19"/>
              </w:rPr>
              <w:t>Error tracking and the domain name.</w:t>
            </w:r>
          </w:p>
        </w:tc>
        <w:tc>
          <w:tcPr>
            <w:tcW w:type="dxa" w:w="3830"/>
            <w:shd w:val="clear" w:fill="FFFFFF"/>
            <w:tcMar>
              <w:top w:w="60" w:type="dxa"/>
              <w:bottom w:w="60" w:type="dxa"/>
              <w:start w:w="110" w:type="dxa"/>
              <w:end w:w="110" w:type="dxa"/>
            </w:tcMar>
          </w:tcPr>
          <w:p>
            <w:pPr>
              <w:jc w:val="right"/>
            </w:pPr>
            <w:r>
              <w:rPr>
                <w:rFonts w:ascii="Arial" w:hAnsi="Arial"/>
                <w:b w:val="0"/>
                <w:color w:val="222222"/>
                <w:sz w:val="19"/>
              </w:rPr>
              <w:t>Free tiers and a ~$20/yr domain.</w:t>
            </w:r>
          </w:p>
        </w:tc>
      </w:tr>
    </w:tbl>
    <w:p>
      <w:pPr>
        <w:spacing w:after="40"/>
      </w:pPr>
    </w:p>
    <w:p>
      <w:pPr>
        <w:spacing w:after="160" w:before="0" w:line="276" w:lineRule="auto"/>
      </w:pPr>
      <w:r>
        <w:rPr>
          <w:rFonts w:ascii="Arial" w:hAnsi="Arial"/>
          <w:b w:val="0"/>
          <w:i w:val="0"/>
          <w:color w:val="222222"/>
          <w:sz w:val="21"/>
        </w:rPr>
        <w:t>The architectural choices that suppress cost are not incidental; they are visible in the code. The homepage and embed both default to list view (</w:t>
      </w:r>
      <w:r>
        <w:rPr>
          <w:rFonts w:ascii="Arial" w:hAnsi="Arial"/>
          <w:b w:val="0"/>
          <w:i/>
          <w:color w:val="222222"/>
          <w:sz w:val="21"/>
        </w:rPr>
        <w:t>view = 'list'</w:t>
      </w:r>
      <w:r>
        <w:rPr>
          <w:rFonts w:ascii="Arial" w:hAnsi="Arial"/>
          <w:b w:val="0"/>
          <w:i w:val="0"/>
          <w:color w:val="222222"/>
          <w:sz w:val="21"/>
        </w:rPr>
        <w:t>), so Mapbox is not invoked on a typical visit. The default events query is mirrored to an edge-cached endpoint (</w:t>
      </w:r>
      <w:r>
        <w:rPr>
          <w:rFonts w:ascii="Arial" w:hAnsi="Arial"/>
          <w:b w:val="0"/>
          <w:i/>
          <w:color w:val="222222"/>
          <w:sz w:val="21"/>
        </w:rPr>
        <w:t>/api/events-first-page</w:t>
      </w:r>
      <w:r>
        <w:rPr>
          <w:rFonts w:ascii="Arial" w:hAnsi="Arial"/>
          <w:b w:val="0"/>
          <w:i w:val="0"/>
          <w:color w:val="222222"/>
          <w:sz w:val="21"/>
        </w:rPr>
        <w:t>) with a five-minute shared cache, so the most common database read is usually absorbed by the CDN. List queries deliberately exclude the heavy description and search columns to roughly halve payload size. Together these mean each additional visitor adds only a fraction of a megabyte of billable traffic.</w:t>
      </w:r>
    </w:p>
    <w:p>
      <w:pPr>
        <w:spacing w:before="260" w:after="120"/>
        <w:pBdr>
          <w:bottom w:val="single" w:sz="4" w:space="4" w:color="DCE6F1"/>
        </w:pBdr>
      </w:pPr>
      <w:r>
        <w:rPr>
          <w:rFonts w:ascii="Arial" w:hAnsi="Arial"/>
          <w:b/>
          <w:color w:val="1F3A5F"/>
          <w:sz w:val="28"/>
        </w:rPr>
        <w:t>Sizing Akron Demand</w:t>
      </w:r>
    </w:p>
    <w:p>
      <w:pPr>
        <w:spacing w:after="160" w:before="0" w:line="276" w:lineRule="auto"/>
      </w:pPr>
      <w:r>
        <w:rPr>
          <w:rFonts w:ascii="Arial" w:hAnsi="Arial"/>
          <w:b w:val="0"/>
          <w:i w:val="0"/>
          <w:color w:val="222222"/>
          <w:sz w:val="21"/>
        </w:rPr>
        <w:t>A cost ceiling is only credible if the traffic ceiling is. Akron is a mid-size city, and the audience for a local events calendar is a subset of its residents plus visitors. The relevant population figures (2025 Census estimates):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600"/>
            <w:shd w:val="clear" w:fill="1F3A5F"/>
            <w:tcMar>
              <w:top w:w="60" w:type="dxa"/>
              <w:bottom w:w="60" w:type="dxa"/>
              <w:start w:w="110" w:type="dxa"/>
              <w:end w:w="110" w:type="dxa"/>
            </w:tcMar>
          </w:tcPr>
          <w:p>
            <w:pPr>
              <w:jc w:val="left"/>
            </w:pPr>
            <w:r>
              <w:rPr>
                <w:rFonts w:ascii="Arial" w:hAnsi="Arial"/>
                <w:b/>
                <w:color w:val="FFFFFF"/>
                <w:sz w:val="19"/>
              </w:rPr>
              <w:t>Geography</w:t>
            </w:r>
          </w:p>
        </w:tc>
        <w:tc>
          <w:tcPr>
            <w:tcW w:type="dxa" w:w="2380"/>
            <w:shd w:val="clear" w:fill="1F3A5F"/>
            <w:tcMar>
              <w:top w:w="60" w:type="dxa"/>
              <w:bottom w:w="60" w:type="dxa"/>
              <w:start w:w="110" w:type="dxa"/>
              <w:end w:w="110" w:type="dxa"/>
            </w:tcMar>
          </w:tcPr>
          <w:p>
            <w:pPr>
              <w:jc w:val="right"/>
            </w:pPr>
            <w:r>
              <w:rPr>
                <w:rFonts w:ascii="Arial" w:hAnsi="Arial"/>
                <w:b/>
                <w:color w:val="FFFFFF"/>
                <w:sz w:val="19"/>
              </w:rPr>
              <w:t>Population</w:t>
            </w:r>
          </w:p>
        </w:tc>
        <w:tc>
          <w:tcPr>
            <w:tcW w:type="dxa" w:w="4380"/>
            <w:shd w:val="clear" w:fill="1F3A5F"/>
            <w:tcMar>
              <w:top w:w="60" w:type="dxa"/>
              <w:bottom w:w="60" w:type="dxa"/>
              <w:start w:w="110" w:type="dxa"/>
              <w:end w:w="110" w:type="dxa"/>
            </w:tcMar>
          </w:tcPr>
          <w:p>
            <w:pPr>
              <w:jc w:val="right"/>
            </w:pPr>
            <w:r>
              <w:rPr>
                <w:rFonts w:ascii="Arial" w:hAnsi="Arial"/>
                <w:b/>
                <w:color w:val="FFFFFF"/>
                <w:sz w:val="19"/>
              </w:rPr>
              <w:t>Relevance</w:t>
            </w:r>
          </w:p>
        </w:tc>
      </w:tr>
      <w:tr>
        <w:tc>
          <w:tcPr>
            <w:tcW w:type="dxa" w:w="2600"/>
            <w:shd w:val="clear" w:fill="FFFFFF"/>
            <w:tcMar>
              <w:top w:w="60" w:type="dxa"/>
              <w:bottom w:w="60" w:type="dxa"/>
              <w:start w:w="110" w:type="dxa"/>
              <w:end w:w="110" w:type="dxa"/>
            </w:tcMar>
          </w:tcPr>
          <w:p>
            <w:pPr>
              <w:jc w:val="left"/>
            </w:pPr>
            <w:r>
              <w:rPr>
                <w:rFonts w:ascii="Arial" w:hAnsi="Arial"/>
                <w:b w:val="0"/>
                <w:color w:val="222222"/>
                <w:sz w:val="19"/>
              </w:rPr>
              <w:t>Akron city</w:t>
            </w:r>
          </w:p>
        </w:tc>
        <w:tc>
          <w:tcPr>
            <w:tcW w:type="dxa" w:w="2380"/>
            <w:shd w:val="clear" w:fill="FFFFFF"/>
            <w:tcMar>
              <w:top w:w="60" w:type="dxa"/>
              <w:bottom w:w="60" w:type="dxa"/>
              <w:start w:w="110" w:type="dxa"/>
              <w:end w:w="110" w:type="dxa"/>
            </w:tcMar>
          </w:tcPr>
          <w:p>
            <w:pPr>
              <w:jc w:val="right"/>
            </w:pPr>
            <w:r>
              <w:rPr>
                <w:rFonts w:ascii="Arial" w:hAnsi="Arial"/>
                <w:b w:val="0"/>
                <w:color w:val="222222"/>
                <w:sz w:val="19"/>
              </w:rPr>
              <w:t>189,478</w:t>
            </w:r>
          </w:p>
        </w:tc>
        <w:tc>
          <w:tcPr>
            <w:tcW w:type="dxa" w:w="4380"/>
            <w:shd w:val="clear" w:fill="FFFFFF"/>
            <w:tcMar>
              <w:top w:w="60" w:type="dxa"/>
              <w:bottom w:w="60" w:type="dxa"/>
              <w:start w:w="110" w:type="dxa"/>
              <w:end w:w="110" w:type="dxa"/>
            </w:tcMar>
          </w:tcPr>
          <w:p>
            <w:pPr>
              <w:jc w:val="right"/>
            </w:pPr>
            <w:r>
              <w:rPr>
                <w:rFonts w:ascii="Arial" w:hAnsi="Arial"/>
                <w:b w:val="0"/>
                <w:color w:val="222222"/>
                <w:sz w:val="19"/>
              </w:rPr>
              <w:t>Core audience</w:t>
            </w:r>
          </w:p>
        </w:tc>
      </w:tr>
      <w:tr>
        <w:tc>
          <w:tcPr>
            <w:tcW w:type="dxa" w:w="2600"/>
            <w:shd w:val="clear" w:fill="F4F7FB"/>
            <w:tcMar>
              <w:top w:w="60" w:type="dxa"/>
              <w:bottom w:w="60" w:type="dxa"/>
              <w:start w:w="110" w:type="dxa"/>
              <w:end w:w="110" w:type="dxa"/>
            </w:tcMar>
          </w:tcPr>
          <w:p>
            <w:pPr>
              <w:jc w:val="left"/>
            </w:pPr>
            <w:r>
              <w:rPr>
                <w:rFonts w:ascii="Arial" w:hAnsi="Arial"/>
                <w:b w:val="0"/>
                <w:color w:val="222222"/>
                <w:sz w:val="19"/>
              </w:rPr>
              <w:t>Summit County</w:t>
            </w:r>
          </w:p>
        </w:tc>
        <w:tc>
          <w:tcPr>
            <w:tcW w:type="dxa" w:w="2380"/>
            <w:shd w:val="clear" w:fill="F4F7FB"/>
            <w:tcMar>
              <w:top w:w="60" w:type="dxa"/>
              <w:bottom w:w="60" w:type="dxa"/>
              <w:start w:w="110" w:type="dxa"/>
              <w:end w:w="110" w:type="dxa"/>
            </w:tcMar>
          </w:tcPr>
          <w:p>
            <w:pPr>
              <w:jc w:val="right"/>
            </w:pPr>
            <w:r>
              <w:rPr>
                <w:rFonts w:ascii="Arial" w:hAnsi="Arial"/>
                <w:b w:val="0"/>
                <w:color w:val="222222"/>
                <w:sz w:val="19"/>
              </w:rPr>
              <w:t>538,376</w:t>
            </w:r>
          </w:p>
        </w:tc>
        <w:tc>
          <w:tcPr>
            <w:tcW w:type="dxa" w:w="4380"/>
            <w:shd w:val="clear" w:fill="F4F7FB"/>
            <w:tcMar>
              <w:top w:w="60" w:type="dxa"/>
              <w:bottom w:w="60" w:type="dxa"/>
              <w:start w:w="110" w:type="dxa"/>
              <w:end w:w="110" w:type="dxa"/>
            </w:tcMar>
          </w:tcPr>
          <w:p>
            <w:pPr>
              <w:jc w:val="right"/>
            </w:pPr>
            <w:r>
              <w:rPr>
                <w:rFonts w:ascii="Arial" w:hAnsi="Arial"/>
                <w:b w:val="0"/>
                <w:color w:val="222222"/>
                <w:sz w:val="19"/>
              </w:rPr>
              <w:t>Realistic catchment for a county-wide calendar</w:t>
            </w:r>
          </w:p>
        </w:tc>
      </w:tr>
      <w:tr>
        <w:tc>
          <w:tcPr>
            <w:tcW w:type="dxa" w:w="2600"/>
            <w:shd w:val="clear" w:fill="FFFFFF"/>
            <w:tcMar>
              <w:top w:w="60" w:type="dxa"/>
              <w:bottom w:w="60" w:type="dxa"/>
              <w:start w:w="110" w:type="dxa"/>
              <w:end w:w="110" w:type="dxa"/>
            </w:tcMar>
          </w:tcPr>
          <w:p>
            <w:pPr>
              <w:jc w:val="left"/>
            </w:pPr>
            <w:r>
              <w:rPr>
                <w:rFonts w:ascii="Arial" w:hAnsi="Arial"/>
                <w:b w:val="0"/>
                <w:color w:val="222222"/>
                <w:sz w:val="19"/>
              </w:rPr>
              <w:t>Akron metro (MSA)</w:t>
            </w:r>
          </w:p>
        </w:tc>
        <w:tc>
          <w:tcPr>
            <w:tcW w:type="dxa" w:w="2380"/>
            <w:shd w:val="clear" w:fill="FFFFFF"/>
            <w:tcMar>
              <w:top w:w="60" w:type="dxa"/>
              <w:bottom w:w="60" w:type="dxa"/>
              <w:start w:w="110" w:type="dxa"/>
              <w:end w:w="110" w:type="dxa"/>
            </w:tcMar>
          </w:tcPr>
          <w:p>
            <w:pPr>
              <w:jc w:val="right"/>
            </w:pPr>
            <w:r>
              <w:rPr>
                <w:rFonts w:ascii="Arial" w:hAnsi="Arial"/>
                <w:b w:val="0"/>
                <w:color w:val="222222"/>
                <w:sz w:val="19"/>
              </w:rPr>
              <w:t>701,780</w:t>
            </w:r>
          </w:p>
        </w:tc>
        <w:tc>
          <w:tcPr>
            <w:tcW w:type="dxa" w:w="4380"/>
            <w:shd w:val="clear" w:fill="FFFFFF"/>
            <w:tcMar>
              <w:top w:w="60" w:type="dxa"/>
              <w:bottom w:w="60" w:type="dxa"/>
              <w:start w:w="110" w:type="dxa"/>
              <w:end w:w="110" w:type="dxa"/>
            </w:tcMar>
          </w:tcPr>
          <w:p>
            <w:pPr>
              <w:jc w:val="right"/>
            </w:pPr>
            <w:r>
              <w:rPr>
                <w:rFonts w:ascii="Arial" w:hAnsi="Arial"/>
                <w:b w:val="0"/>
                <w:color w:val="222222"/>
                <w:sz w:val="19"/>
              </w:rPr>
              <w:t>Outer bound including Portage County</w:t>
            </w:r>
          </w:p>
        </w:tc>
      </w:tr>
    </w:tbl>
    <w:p>
      <w:pPr>
        <w:spacing w:after="40"/>
      </w:pPr>
    </w:p>
    <w:p>
      <w:pPr>
        <w:spacing w:after="160" w:before="0" w:line="276" w:lineRule="auto"/>
      </w:pPr>
      <w:r>
        <w:rPr>
          <w:rFonts w:ascii="Arial" w:hAnsi="Arial"/>
          <w:b w:val="0"/>
          <w:i w:val="0"/>
          <w:color w:val="222222"/>
          <w:sz w:val="21"/>
        </w:rPr>
        <w:t xml:space="preserve">Population is the theoretical pool; the </w:t>
      </w:r>
      <w:r>
        <w:rPr>
          <w:rFonts w:ascii="Arial" w:hAnsi="Arial"/>
          <w:b w:val="0"/>
          <w:i/>
          <w:color w:val="222222"/>
          <w:sz w:val="21"/>
        </w:rPr>
        <w:t>engaged</w:t>
      </w:r>
      <w:r>
        <w:rPr>
          <w:rFonts w:ascii="Arial" w:hAnsi="Arial"/>
          <w:b w:val="0"/>
          <w:i w:val="0"/>
          <w:color w:val="222222"/>
          <w:sz w:val="21"/>
        </w:rPr>
        <w:t xml:space="preserve"> audience that actively seeks out local events is far smaller. Two real-world anchors bound it. Signal Akron, the city's nonprofit newsroom, reports roughly </w:t>
      </w:r>
      <w:r>
        <w:rPr>
          <w:rFonts w:ascii="Arial" w:hAnsi="Arial"/>
          <w:b/>
          <w:i w:val="0"/>
          <w:color w:val="222222"/>
          <w:sz w:val="21"/>
        </w:rPr>
        <w:t>30,000 newsletter subscribers</w:t>
      </w:r>
      <w:r>
        <w:rPr>
          <w:rFonts w:ascii="Arial" w:hAnsi="Arial"/>
          <w:b w:val="0"/>
          <w:i w:val="0"/>
          <w:color w:val="222222"/>
          <w:sz w:val="21"/>
        </w:rPr>
        <w:t xml:space="preserve"> relying on its local guides, a reasonable proxy for the count of Akronites who deliberately follow local happenings. The Akron-Summit County Public Library, among the busiest library systems in Ohio, draws about </w:t>
      </w:r>
      <w:r>
        <w:rPr>
          <w:rFonts w:ascii="Arial" w:hAnsi="Arial"/>
          <w:b/>
          <w:i w:val="0"/>
          <w:color w:val="222222"/>
          <w:sz w:val="21"/>
        </w:rPr>
        <w:t>1.29 million in-person visits a year</w:t>
      </w:r>
      <w:r>
        <w:rPr>
          <w:rFonts w:ascii="Arial" w:hAnsi="Arial"/>
          <w:b w:val="0"/>
          <w:i w:val="0"/>
          <w:color w:val="222222"/>
          <w:sz w:val="21"/>
        </w:rPr>
        <w:t xml:space="preserve"> and is the kind of institution whose website would host an embed. From these, a mature monthly-visitor figure in the tens of thousands is realistic, with seasonal festival-season spikes pushing higher. The scenarios below are deliberately generous against these anchors so the budget has headroom.</w:t>
      </w:r>
    </w:p>
    <w:p>
      <w:pPr>
        <w:spacing w:before="260" w:after="120"/>
        <w:pBdr>
          <w:bottom w:val="single" w:sz="4" w:space="4" w:color="DCE6F1"/>
        </w:pBdr>
      </w:pPr>
      <w:r>
        <w:rPr>
          <w:rFonts w:ascii="Arial" w:hAnsi="Arial"/>
          <w:b/>
          <w:color w:val="1F3A5F"/>
          <w:sz w:val="28"/>
        </w:rPr>
        <w:t>Per-Visit Unit Economics</w:t>
      </w:r>
    </w:p>
    <w:p>
      <w:pPr>
        <w:spacing w:after="160" w:before="0" w:line="276" w:lineRule="auto"/>
      </w:pPr>
      <w:r>
        <w:rPr>
          <w:rFonts w:ascii="Arial" w:hAnsi="Arial"/>
          <w:b w:val="0"/>
          <w:i w:val="0"/>
          <w:color w:val="222222"/>
          <w:sz w:val="21"/>
        </w:rPr>
        <w:t>The estimated resource a single interaction consumes, drawn from the application's fetching behavior: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360"/>
            <w:shd w:val="clear" w:fill="1F3A5F"/>
            <w:tcMar>
              <w:top w:w="60" w:type="dxa"/>
              <w:bottom w:w="60" w:type="dxa"/>
              <w:start w:w="110" w:type="dxa"/>
              <w:end w:w="110" w:type="dxa"/>
            </w:tcMar>
          </w:tcPr>
          <w:p>
            <w:pPr>
              <w:jc w:val="left"/>
            </w:pPr>
            <w:r>
              <w:rPr>
                <w:rFonts w:ascii="Arial" w:hAnsi="Arial"/>
                <w:b/>
                <w:color w:val="FFFFFF"/>
                <w:sz w:val="19"/>
              </w:rPr>
              <w:t>Resource per interaction</w:t>
            </w:r>
          </w:p>
        </w:tc>
        <w:tc>
          <w:tcPr>
            <w:tcW w:type="dxa" w:w="2500"/>
            <w:shd w:val="clear" w:fill="1F3A5F"/>
            <w:tcMar>
              <w:top w:w="60" w:type="dxa"/>
              <w:bottom w:w="60" w:type="dxa"/>
              <w:start w:w="110" w:type="dxa"/>
              <w:end w:w="110" w:type="dxa"/>
            </w:tcMar>
          </w:tcPr>
          <w:p>
            <w:pPr>
              <w:jc w:val="right"/>
            </w:pPr>
            <w:r>
              <w:rPr>
                <w:rFonts w:ascii="Arial" w:hAnsi="Arial"/>
                <w:b/>
                <w:color w:val="FFFFFF"/>
                <w:sz w:val="19"/>
              </w:rPr>
              <w:t>Main-site session</w:t>
            </w:r>
          </w:p>
        </w:tc>
        <w:tc>
          <w:tcPr>
            <w:tcW w:type="dxa" w:w="2500"/>
            <w:shd w:val="clear" w:fill="1F3A5F"/>
            <w:tcMar>
              <w:top w:w="60" w:type="dxa"/>
              <w:bottom w:w="60" w:type="dxa"/>
              <w:start w:w="110" w:type="dxa"/>
              <w:end w:w="110" w:type="dxa"/>
            </w:tcMar>
          </w:tcPr>
          <w:p>
            <w:pPr>
              <w:jc w:val="right"/>
            </w:pPr>
            <w:r>
              <w:rPr>
                <w:rFonts w:ascii="Arial" w:hAnsi="Arial"/>
                <w:b/>
                <w:color w:val="FFFFFF"/>
                <w:sz w:val="19"/>
              </w:rPr>
              <w:t>Embed impression</w:t>
            </w:r>
          </w:p>
        </w:tc>
      </w:tr>
      <w:tr>
        <w:tc>
          <w:tcPr>
            <w:tcW w:type="dxa" w:w="4360"/>
            <w:shd w:val="clear" w:fill="FFFFFF"/>
            <w:tcMar>
              <w:top w:w="60" w:type="dxa"/>
              <w:bottom w:w="60" w:type="dxa"/>
              <w:start w:w="110" w:type="dxa"/>
              <w:end w:w="110" w:type="dxa"/>
            </w:tcMar>
          </w:tcPr>
          <w:p>
            <w:pPr>
              <w:jc w:val="left"/>
            </w:pPr>
            <w:r>
              <w:rPr>
                <w:rFonts w:ascii="Arial" w:hAnsi="Arial"/>
                <w:b w:val="0"/>
                <w:color w:val="222222"/>
                <w:sz w:val="19"/>
              </w:rPr>
              <w:t>Vercel bandwidth</w:t>
            </w:r>
          </w:p>
        </w:tc>
        <w:tc>
          <w:tcPr>
            <w:tcW w:type="dxa" w:w="2500"/>
            <w:shd w:val="clear" w:fill="FFFFFF"/>
            <w:tcMar>
              <w:top w:w="60" w:type="dxa"/>
              <w:bottom w:w="60" w:type="dxa"/>
              <w:start w:w="110" w:type="dxa"/>
              <w:end w:w="110" w:type="dxa"/>
            </w:tcMar>
          </w:tcPr>
          <w:p>
            <w:pPr>
              <w:jc w:val="right"/>
            </w:pPr>
            <w:r>
              <w:rPr>
                <w:rFonts w:ascii="Arial" w:hAnsi="Arial"/>
                <w:b w:val="0"/>
                <w:color w:val="222222"/>
                <w:sz w:val="19"/>
              </w:rPr>
              <w:t>0.80 MB</w:t>
            </w:r>
          </w:p>
        </w:tc>
        <w:tc>
          <w:tcPr>
            <w:tcW w:type="dxa" w:w="2500"/>
            <w:shd w:val="clear" w:fill="FFFFFF"/>
            <w:tcMar>
              <w:top w:w="60" w:type="dxa"/>
              <w:bottom w:w="60" w:type="dxa"/>
              <w:start w:w="110" w:type="dxa"/>
              <w:end w:w="110" w:type="dxa"/>
            </w:tcMar>
          </w:tcPr>
          <w:p>
            <w:pPr>
              <w:jc w:val="right"/>
            </w:pPr>
            <w:r>
              <w:rPr>
                <w:rFonts w:ascii="Arial" w:hAnsi="Arial"/>
                <w:b w:val="0"/>
                <w:color w:val="222222"/>
                <w:sz w:val="19"/>
              </w:rPr>
              <w:t>0.60 MB</w:t>
            </w:r>
          </w:p>
        </w:tc>
      </w:tr>
      <w:tr>
        <w:tc>
          <w:tcPr>
            <w:tcW w:type="dxa" w:w="4360"/>
            <w:shd w:val="clear" w:fill="F4F7FB"/>
            <w:tcMar>
              <w:top w:w="60" w:type="dxa"/>
              <w:bottom w:w="60" w:type="dxa"/>
              <w:start w:w="110" w:type="dxa"/>
              <w:end w:w="110" w:type="dxa"/>
            </w:tcMar>
          </w:tcPr>
          <w:p>
            <w:pPr>
              <w:jc w:val="left"/>
            </w:pPr>
            <w:r>
              <w:rPr>
                <w:rFonts w:ascii="Arial" w:hAnsi="Arial"/>
                <w:b w:val="0"/>
                <w:color w:val="222222"/>
                <w:sz w:val="19"/>
              </w:rPr>
              <w:t>Supabase egress</w:t>
            </w:r>
          </w:p>
        </w:tc>
        <w:tc>
          <w:tcPr>
            <w:tcW w:type="dxa" w:w="2500"/>
            <w:shd w:val="clear" w:fill="F4F7FB"/>
            <w:tcMar>
              <w:top w:w="60" w:type="dxa"/>
              <w:bottom w:w="60" w:type="dxa"/>
              <w:start w:w="110" w:type="dxa"/>
              <w:end w:w="110" w:type="dxa"/>
            </w:tcMar>
          </w:tcPr>
          <w:p>
            <w:pPr>
              <w:jc w:val="right"/>
            </w:pPr>
            <w:r>
              <w:rPr>
                <w:rFonts w:ascii="Arial" w:hAnsi="Arial"/>
                <w:b w:val="0"/>
                <w:color w:val="222222"/>
                <w:sz w:val="19"/>
              </w:rPr>
              <w:t>0.07 MB</w:t>
            </w:r>
          </w:p>
        </w:tc>
        <w:tc>
          <w:tcPr>
            <w:tcW w:type="dxa" w:w="2500"/>
            <w:shd w:val="clear" w:fill="F4F7FB"/>
            <w:tcMar>
              <w:top w:w="60" w:type="dxa"/>
              <w:bottom w:w="60" w:type="dxa"/>
              <w:start w:w="110" w:type="dxa"/>
              <w:end w:w="110" w:type="dxa"/>
            </w:tcMar>
          </w:tcPr>
          <w:p>
            <w:pPr>
              <w:jc w:val="right"/>
            </w:pPr>
            <w:r>
              <w:rPr>
                <w:rFonts w:ascii="Arial" w:hAnsi="Arial"/>
                <w:b w:val="0"/>
                <w:color w:val="222222"/>
                <w:sz w:val="19"/>
              </w:rPr>
              <w:t>0.04 MB</w:t>
            </w:r>
          </w:p>
        </w:tc>
      </w:tr>
      <w:tr>
        <w:tc>
          <w:tcPr>
            <w:tcW w:type="dxa" w:w="4360"/>
            <w:shd w:val="clear" w:fill="FFFFFF"/>
            <w:tcMar>
              <w:top w:w="60" w:type="dxa"/>
              <w:bottom w:w="60" w:type="dxa"/>
              <w:start w:w="110" w:type="dxa"/>
              <w:end w:w="110" w:type="dxa"/>
            </w:tcMar>
          </w:tcPr>
          <w:p>
            <w:pPr>
              <w:jc w:val="left"/>
            </w:pPr>
            <w:r>
              <w:rPr>
                <w:rFonts w:ascii="Arial" w:hAnsi="Arial"/>
                <w:b w:val="0"/>
                <w:color w:val="222222"/>
                <w:sz w:val="19"/>
              </w:rPr>
              <w:t>Mapbox map loads</w:t>
            </w:r>
          </w:p>
        </w:tc>
        <w:tc>
          <w:tcPr>
            <w:tcW w:type="dxa" w:w="2500"/>
            <w:shd w:val="clear" w:fill="FFFFFF"/>
            <w:tcMar>
              <w:top w:w="60" w:type="dxa"/>
              <w:bottom w:w="60" w:type="dxa"/>
              <w:start w:w="110" w:type="dxa"/>
              <w:end w:w="110" w:type="dxa"/>
            </w:tcMar>
          </w:tcPr>
          <w:p>
            <w:pPr>
              <w:jc w:val="right"/>
            </w:pPr>
            <w:r>
              <w:rPr>
                <w:rFonts w:ascii="Arial" w:hAnsi="Arial"/>
                <w:b w:val="0"/>
                <w:color w:val="222222"/>
                <w:sz w:val="19"/>
              </w:rPr>
              <w:t>0.15</w:t>
            </w:r>
          </w:p>
        </w:tc>
        <w:tc>
          <w:tcPr>
            <w:tcW w:type="dxa" w:w="2500"/>
            <w:shd w:val="clear" w:fill="FFFFFF"/>
            <w:tcMar>
              <w:top w:w="60" w:type="dxa"/>
              <w:bottom w:w="60" w:type="dxa"/>
              <w:start w:w="110" w:type="dxa"/>
              <w:end w:w="110" w:type="dxa"/>
            </w:tcMar>
          </w:tcPr>
          <w:p>
            <w:pPr>
              <w:jc w:val="right"/>
            </w:pPr>
            <w:r>
              <w:rPr>
                <w:rFonts w:ascii="Arial" w:hAnsi="Arial"/>
                <w:b w:val="0"/>
                <w:color w:val="222222"/>
                <w:sz w:val="19"/>
              </w:rPr>
              <w:t>0.02</w:t>
            </w:r>
          </w:p>
        </w:tc>
      </w:tr>
    </w:tbl>
    <w:p>
      <w:pPr>
        <w:spacing w:after="40"/>
      </w:pPr>
    </w:p>
    <w:p>
      <w:pPr>
        <w:spacing w:after="160" w:before="0" w:line="276" w:lineRule="auto"/>
      </w:pPr>
      <w:r>
        <w:rPr>
          <w:rFonts w:ascii="Arial" w:hAnsi="Arial"/>
          <w:b w:val="0"/>
          <w:i w:val="0"/>
          <w:color w:val="222222"/>
          <w:sz w:val="21"/>
        </w:rPr>
        <w:t xml:space="preserve">These are intentionally conservative (rounded up). The headline consequence: it takes on the order of </w:t>
      </w:r>
      <w:r>
        <w:rPr>
          <w:rFonts w:ascii="Arial" w:hAnsi="Arial"/>
          <w:b/>
          <w:i w:val="0"/>
          <w:color w:val="222222"/>
          <w:sz w:val="21"/>
        </w:rPr>
        <w:t>1.3 million</w:t>
      </w:r>
      <w:r>
        <w:rPr>
          <w:rFonts w:ascii="Arial" w:hAnsi="Arial"/>
          <w:b w:val="0"/>
          <w:i w:val="0"/>
          <w:color w:val="222222"/>
          <w:sz w:val="21"/>
        </w:rPr>
        <w:t xml:space="preserve"> combined monthly loads to exhaust Vercel's included terabyte of bandwidth, several million to exhaust Supabase's 250 GB of included egress, and roughly </w:t>
      </w:r>
      <w:r>
        <w:rPr>
          <w:rFonts w:ascii="Arial" w:hAnsi="Arial"/>
          <w:b/>
          <w:i w:val="0"/>
          <w:color w:val="222222"/>
          <w:sz w:val="21"/>
        </w:rPr>
        <w:t>330,000 main-site visits</w:t>
      </w:r>
      <w:r>
        <w:rPr>
          <w:rFonts w:ascii="Arial" w:hAnsi="Arial"/>
          <w:b w:val="0"/>
          <w:i w:val="0"/>
          <w:color w:val="222222"/>
          <w:sz w:val="21"/>
        </w:rPr>
        <w:t xml:space="preserve"> a month before the map-load free tier is touched. All three thresholds sit above anything Akron-only demand can plausibly generate.</w:t>
      </w:r>
    </w:p>
    <w:p>
      <w:pPr>
        <w:spacing w:before="260" w:after="120"/>
        <w:pBdr>
          <w:bottom w:val="single" w:sz="4" w:space="4" w:color="DCE6F1"/>
        </w:pBdr>
      </w:pPr>
      <w:r>
        <w:rPr>
          <w:rFonts w:ascii="Arial" w:hAnsi="Arial"/>
          <w:b/>
          <w:color w:val="1F3A5F"/>
          <w:sz w:val="28"/>
        </w:rPr>
        <w:t>The Embed Feature Economics</w:t>
      </w:r>
    </w:p>
    <w:p>
      <w:pPr>
        <w:spacing w:after="160" w:before="0" w:line="276" w:lineRule="auto"/>
      </w:pPr>
      <w:r>
        <w:rPr>
          <w:rFonts w:ascii="Arial" w:hAnsi="Arial"/>
          <w:b w:val="0"/>
          <w:i w:val="0"/>
          <w:color w:val="222222"/>
          <w:sz w:val="21"/>
        </w:rPr>
        <w:t xml:space="preserve">Because the embed prompted this analysis, it deserves a direct answer. The embed is an iframe that loads the same application at its </w:t>
      </w:r>
      <w:r>
        <w:rPr>
          <w:rFonts w:ascii="Arial" w:hAnsi="Arial"/>
          <w:b w:val="0"/>
          <w:i/>
          <w:color w:val="222222"/>
          <w:sz w:val="21"/>
        </w:rPr>
        <w:t>/embed</w:t>
      </w:r>
      <w:r>
        <w:rPr>
          <w:rFonts w:ascii="Arial" w:hAnsi="Arial"/>
          <w:b w:val="0"/>
          <w:i w:val="0"/>
          <w:color w:val="222222"/>
          <w:sz w:val="21"/>
        </w:rPr>
        <w:t xml:space="preserve"> route with partner-locked filters. Mechanically, an embed impression costs </w:t>
      </w:r>
      <w:r>
        <w:rPr>
          <w:rFonts w:ascii="Arial" w:hAnsi="Arial"/>
          <w:b/>
          <w:i w:val="0"/>
          <w:color w:val="222222"/>
          <w:sz w:val="21"/>
        </w:rPr>
        <w:t>less</w:t>
      </w:r>
      <w:r>
        <w:rPr>
          <w:rFonts w:ascii="Arial" w:hAnsi="Arial"/>
          <w:b w:val="0"/>
          <w:i w:val="0"/>
          <w:color w:val="222222"/>
          <w:sz w:val="21"/>
        </w:rPr>
        <w:t xml:space="preserve"> than a full site visit, for three reasons. The application shell and assets are CDN-cached and cached again in each visitor's browser, so repeat impressions transfer almost nothing. The map defaults to off, so embeds essentially never incur Mapbox charges. And a single locked-filter list query is the typical database hit, smaller than an exploring visitor who filters and paginates.</w:t>
      </w:r>
    </w:p>
    <w:p>
      <w:pPr>
        <w:spacing w:after="160" w:before="0" w:line="276" w:lineRule="auto"/>
      </w:pPr>
      <w:r>
        <w:rPr>
          <w:rFonts w:ascii="Arial" w:hAnsi="Arial"/>
          <w:b w:val="0"/>
          <w:i w:val="0"/>
          <w:color w:val="222222"/>
          <w:sz w:val="21"/>
        </w:rPr>
        <w:t xml:space="preserve">Concretely, even </w:t>
      </w:r>
      <w:r>
        <w:rPr>
          <w:rFonts w:ascii="Arial" w:hAnsi="Arial"/>
          <w:b/>
          <w:i w:val="0"/>
          <w:color w:val="222222"/>
          <w:sz w:val="21"/>
        </w:rPr>
        <w:t>one million embed impressions per month</w:t>
      </w:r>
      <w:r>
        <w:rPr>
          <w:rFonts w:ascii="Arial" w:hAnsi="Arial"/>
          <w:b w:val="0"/>
          <w:i w:val="0"/>
          <w:color w:val="222222"/>
          <w:sz w:val="21"/>
        </w:rPr>
        <w:t xml:space="preserve"> (a volume that would require Akron's largest institutional sites to each surface the calendar to large audiences) add roughly 600 GB of Vercel bandwidth and 40 GB of Supabase egress, both </w:t>
      </w:r>
      <w:r>
        <w:rPr>
          <w:rFonts w:ascii="Arial" w:hAnsi="Arial"/>
          <w:b/>
          <w:i w:val="0"/>
          <w:color w:val="222222"/>
          <w:sz w:val="21"/>
        </w:rPr>
        <w:t>inside</w:t>
      </w:r>
      <w:r>
        <w:rPr>
          <w:rFonts w:ascii="Arial" w:hAnsi="Arial"/>
          <w:b w:val="0"/>
          <w:i w:val="0"/>
          <w:color w:val="222222"/>
          <w:sz w:val="21"/>
        </w:rPr>
        <w:t xml:space="preserve"> the included plan allowances. The realistic embed candidates are known Akron organizations already represented as data sources in the platform, including the Downtown Akron Partnership, the Akron-Summit County Public Library, neighborhood community-development corporations (North Hill, Better Kenmore, Highland Square), city government sites, and cultural institutions. Their combined embed traffic at maturity is far more likely to be in the low hundreds of thousands of impressions than in the millions. The embed widens distribution without widening the bill.</w:t>
      </w:r>
    </w:p>
    <w:p>
      <w:r>
        <w:br w:type="page"/>
      </w:r>
    </w:p>
    <w:p>
      <w:pPr>
        <w:spacing w:before="260" w:after="120"/>
        <w:pBdr>
          <w:bottom w:val="single" w:sz="4" w:space="4" w:color="DCE6F1"/>
        </w:pBdr>
      </w:pPr>
      <w:r>
        <w:rPr>
          <w:rFonts w:ascii="Arial" w:hAnsi="Arial"/>
          <w:b/>
          <w:color w:val="1F3A5F"/>
          <w:sz w:val="28"/>
        </w:rPr>
        <w:t>Cost Scenarios</w:t>
      </w:r>
    </w:p>
    <w:p>
      <w:pPr>
        <w:spacing w:after="160" w:before="0" w:line="276" w:lineRule="auto"/>
      </w:pPr>
      <w:r>
        <w:rPr>
          <w:rFonts w:ascii="Arial" w:hAnsi="Arial"/>
          <w:b w:val="0"/>
          <w:i w:val="0"/>
          <w:color w:val="222222"/>
          <w:sz w:val="21"/>
        </w:rPr>
        <w:t>Four scenarios span the realistic Akron range; a fifth, intentionally beyond Akron, is included only to locate the cost cliffs. All costs assume the stable production baseline of Vercel Pro ($20/mo) plus Supabase Pro ($25/mo).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2700"/>
            <w:shd w:val="clear" w:fill="1F3A5F"/>
            <w:tcMar>
              <w:top w:w="60" w:type="dxa"/>
              <w:bottom w:w="60" w:type="dxa"/>
              <w:start w:w="110" w:type="dxa"/>
              <w:end w:w="110" w:type="dxa"/>
            </w:tcMar>
          </w:tcPr>
          <w:p>
            <w:pPr>
              <w:jc w:val="left"/>
            </w:pPr>
            <w:r>
              <w:rPr>
                <w:rFonts w:ascii="Arial" w:hAnsi="Arial"/>
                <w:b/>
                <w:color w:val="FFFFFF"/>
                <w:sz w:val="19"/>
              </w:rPr>
              <w:t>Scenario</w:t>
            </w:r>
          </w:p>
        </w:tc>
        <w:tc>
          <w:tcPr>
            <w:tcW w:type="dxa" w:w="1700"/>
            <w:shd w:val="clear" w:fill="1F3A5F"/>
            <w:tcMar>
              <w:top w:w="60" w:type="dxa"/>
              <w:bottom w:w="60" w:type="dxa"/>
              <w:start w:w="110" w:type="dxa"/>
              <w:end w:w="110" w:type="dxa"/>
            </w:tcMar>
          </w:tcPr>
          <w:p>
            <w:pPr>
              <w:jc w:val="right"/>
            </w:pPr>
            <w:r>
              <w:rPr>
                <w:rFonts w:ascii="Arial" w:hAnsi="Arial"/>
                <w:b/>
                <w:color w:val="FFFFFF"/>
                <w:sz w:val="19"/>
              </w:rPr>
              <w:t>Visitors/mo</w:t>
            </w:r>
          </w:p>
        </w:tc>
        <w:tc>
          <w:tcPr>
            <w:tcW w:type="dxa" w:w="1700"/>
            <w:shd w:val="clear" w:fill="1F3A5F"/>
            <w:tcMar>
              <w:top w:w="60" w:type="dxa"/>
              <w:bottom w:w="60" w:type="dxa"/>
              <w:start w:w="110" w:type="dxa"/>
              <w:end w:w="110" w:type="dxa"/>
            </w:tcMar>
          </w:tcPr>
          <w:p>
            <w:pPr>
              <w:jc w:val="right"/>
            </w:pPr>
            <w:r>
              <w:rPr>
                <w:rFonts w:ascii="Arial" w:hAnsi="Arial"/>
                <w:b/>
                <w:color w:val="FFFFFF"/>
                <w:sz w:val="19"/>
              </w:rPr>
              <w:t>Embeds/mo</w:t>
            </w:r>
          </w:p>
        </w:tc>
        <w:tc>
          <w:tcPr>
            <w:tcW w:type="dxa" w:w="1480"/>
            <w:shd w:val="clear" w:fill="1F3A5F"/>
            <w:tcMar>
              <w:top w:w="60" w:type="dxa"/>
              <w:bottom w:w="60" w:type="dxa"/>
              <w:start w:w="110" w:type="dxa"/>
              <w:end w:w="110" w:type="dxa"/>
            </w:tcMar>
          </w:tcPr>
          <w:p>
            <w:pPr>
              <w:jc w:val="right"/>
            </w:pPr>
            <w:r>
              <w:rPr>
                <w:rFonts w:ascii="Arial" w:hAnsi="Arial"/>
                <w:b/>
                <w:color w:val="FFFFFF"/>
                <w:sz w:val="19"/>
              </w:rPr>
              <w:t>Infra $/mo</w:t>
            </w:r>
          </w:p>
        </w:tc>
        <w:tc>
          <w:tcPr>
            <w:tcW w:type="dxa" w:w="1780"/>
            <w:shd w:val="clear" w:fill="1F3A5F"/>
            <w:tcMar>
              <w:top w:w="60" w:type="dxa"/>
              <w:bottom w:w="60" w:type="dxa"/>
              <w:start w:w="110" w:type="dxa"/>
              <w:end w:w="110" w:type="dxa"/>
            </w:tcMar>
          </w:tcPr>
          <w:p>
            <w:pPr>
              <w:jc w:val="right"/>
            </w:pPr>
            <w:r>
              <w:rPr>
                <w:rFonts w:ascii="Arial" w:hAnsi="Arial"/>
                <w:b/>
                <w:color w:val="FFFFFF"/>
                <w:sz w:val="19"/>
              </w:rPr>
              <w:t>Infra $/yr*</w:t>
            </w:r>
          </w:p>
        </w:tc>
      </w:tr>
      <w:tr>
        <w:tc>
          <w:tcPr>
            <w:tcW w:type="dxa" w:w="2700"/>
            <w:shd w:val="clear" w:fill="FFFFFF"/>
            <w:tcMar>
              <w:top w:w="60" w:type="dxa"/>
              <w:bottom w:w="60" w:type="dxa"/>
              <w:start w:w="110" w:type="dxa"/>
              <w:end w:w="110" w:type="dxa"/>
            </w:tcMar>
          </w:tcPr>
          <w:p>
            <w:pPr>
              <w:jc w:val="left"/>
            </w:pPr>
            <w:r>
              <w:rPr>
                <w:rFonts w:ascii="Arial" w:hAnsi="Arial"/>
                <w:b/>
                <w:color w:val="222222"/>
                <w:sz w:val="19"/>
              </w:rPr>
              <w:t>Launch (Year 1)</w:t>
            </w:r>
          </w:p>
        </w:tc>
        <w:tc>
          <w:tcPr>
            <w:tcW w:type="dxa" w:w="1700"/>
            <w:shd w:val="clear" w:fill="FFFFFF"/>
            <w:tcMar>
              <w:top w:w="60" w:type="dxa"/>
              <w:bottom w:w="60" w:type="dxa"/>
              <w:start w:w="110" w:type="dxa"/>
              <w:end w:w="110" w:type="dxa"/>
            </w:tcMar>
          </w:tcPr>
          <w:p>
            <w:pPr>
              <w:jc w:val="right"/>
            </w:pPr>
            <w:r>
              <w:rPr>
                <w:rFonts w:ascii="Arial" w:hAnsi="Arial"/>
                <w:b w:val="0"/>
                <w:color w:val="222222"/>
                <w:sz w:val="19"/>
              </w:rPr>
              <w:t>5,000</w:t>
            </w:r>
          </w:p>
        </w:tc>
        <w:tc>
          <w:tcPr>
            <w:tcW w:type="dxa" w:w="1700"/>
            <w:shd w:val="clear" w:fill="FFFFFF"/>
            <w:tcMar>
              <w:top w:w="60" w:type="dxa"/>
              <w:bottom w:w="60" w:type="dxa"/>
              <w:start w:w="110" w:type="dxa"/>
              <w:end w:w="110" w:type="dxa"/>
            </w:tcMar>
          </w:tcPr>
          <w:p>
            <w:pPr>
              <w:jc w:val="right"/>
            </w:pPr>
            <w:r>
              <w:rPr>
                <w:rFonts w:ascii="Arial" w:hAnsi="Arial"/>
                <w:b w:val="0"/>
                <w:color w:val="222222"/>
                <w:sz w:val="19"/>
              </w:rPr>
              <w:t>10,000</w:t>
            </w:r>
          </w:p>
        </w:tc>
        <w:tc>
          <w:tcPr>
            <w:tcW w:type="dxa" w:w="1480"/>
            <w:shd w:val="clear" w:fill="FFFFFF"/>
            <w:tcMar>
              <w:top w:w="60" w:type="dxa"/>
              <w:bottom w:w="60" w:type="dxa"/>
              <w:start w:w="110" w:type="dxa"/>
              <w:end w:w="110" w:type="dxa"/>
            </w:tcMar>
          </w:tcPr>
          <w:p>
            <w:pPr>
              <w:jc w:val="right"/>
            </w:pPr>
            <w:r>
              <w:rPr>
                <w:rFonts w:ascii="Arial" w:hAnsi="Arial"/>
                <w:b w:val="0"/>
                <w:color w:val="222222"/>
                <w:sz w:val="19"/>
              </w:rPr>
              <w:t>$59</w:t>
            </w:r>
          </w:p>
        </w:tc>
        <w:tc>
          <w:tcPr>
            <w:tcW w:type="dxa" w:w="1780"/>
            <w:shd w:val="clear" w:fill="FFFFFF"/>
            <w:tcMar>
              <w:top w:w="60" w:type="dxa"/>
              <w:bottom w:w="60" w:type="dxa"/>
              <w:start w:w="110" w:type="dxa"/>
              <w:end w:w="110" w:type="dxa"/>
            </w:tcMar>
          </w:tcPr>
          <w:p>
            <w:pPr>
              <w:jc w:val="right"/>
            </w:pPr>
            <w:r>
              <w:rPr>
                <w:rFonts w:ascii="Arial" w:hAnsi="Arial"/>
                <w:b w:val="0"/>
                <w:color w:val="222222"/>
                <w:sz w:val="19"/>
              </w:rPr>
              <w:t>$880</w:t>
            </w:r>
          </w:p>
        </w:tc>
      </w:tr>
      <w:tr>
        <w:tc>
          <w:tcPr>
            <w:tcW w:type="dxa" w:w="2700"/>
            <w:shd w:val="clear" w:fill="F4F7FB"/>
            <w:tcMar>
              <w:top w:w="60" w:type="dxa"/>
              <w:bottom w:w="60" w:type="dxa"/>
              <w:start w:w="110" w:type="dxa"/>
              <w:end w:w="110" w:type="dxa"/>
            </w:tcMar>
          </w:tcPr>
          <w:p>
            <w:pPr>
              <w:jc w:val="left"/>
            </w:pPr>
            <w:r>
              <w:rPr>
                <w:rFonts w:ascii="Arial" w:hAnsi="Arial"/>
                <w:b/>
                <w:color w:val="222222"/>
                <w:sz w:val="19"/>
              </w:rPr>
              <w:t>Growth</w:t>
            </w:r>
          </w:p>
        </w:tc>
        <w:tc>
          <w:tcPr>
            <w:tcW w:type="dxa" w:w="1700"/>
            <w:shd w:val="clear" w:fill="F4F7FB"/>
            <w:tcMar>
              <w:top w:w="60" w:type="dxa"/>
              <w:bottom w:w="60" w:type="dxa"/>
              <w:start w:w="110" w:type="dxa"/>
              <w:end w:w="110" w:type="dxa"/>
            </w:tcMar>
          </w:tcPr>
          <w:p>
            <w:pPr>
              <w:jc w:val="right"/>
            </w:pPr>
            <w:r>
              <w:rPr>
                <w:rFonts w:ascii="Arial" w:hAnsi="Arial"/>
                <w:b w:val="0"/>
                <w:color w:val="222222"/>
                <w:sz w:val="19"/>
              </w:rPr>
              <w:t>25,000</w:t>
            </w:r>
          </w:p>
        </w:tc>
        <w:tc>
          <w:tcPr>
            <w:tcW w:type="dxa" w:w="1700"/>
            <w:shd w:val="clear" w:fill="F4F7FB"/>
            <w:tcMar>
              <w:top w:w="60" w:type="dxa"/>
              <w:bottom w:w="60" w:type="dxa"/>
              <w:start w:w="110" w:type="dxa"/>
              <w:end w:w="110" w:type="dxa"/>
            </w:tcMar>
          </w:tcPr>
          <w:p>
            <w:pPr>
              <w:jc w:val="right"/>
            </w:pPr>
            <w:r>
              <w:rPr>
                <w:rFonts w:ascii="Arial" w:hAnsi="Arial"/>
                <w:b w:val="0"/>
                <w:color w:val="222222"/>
                <w:sz w:val="19"/>
              </w:rPr>
              <w:t>75,000</w:t>
            </w:r>
          </w:p>
        </w:tc>
        <w:tc>
          <w:tcPr>
            <w:tcW w:type="dxa" w:w="1480"/>
            <w:shd w:val="clear" w:fill="F4F7FB"/>
            <w:tcMar>
              <w:top w:w="60" w:type="dxa"/>
              <w:bottom w:w="60" w:type="dxa"/>
              <w:start w:w="110" w:type="dxa"/>
              <w:end w:w="110" w:type="dxa"/>
            </w:tcMar>
          </w:tcPr>
          <w:p>
            <w:pPr>
              <w:jc w:val="right"/>
            </w:pPr>
            <w:r>
              <w:rPr>
                <w:rFonts w:ascii="Arial" w:hAnsi="Arial"/>
                <w:b w:val="0"/>
                <w:color w:val="222222"/>
                <w:sz w:val="19"/>
              </w:rPr>
              <w:t>$59</w:t>
            </w:r>
          </w:p>
        </w:tc>
        <w:tc>
          <w:tcPr>
            <w:tcW w:type="dxa" w:w="1780"/>
            <w:shd w:val="clear" w:fill="F4F7FB"/>
            <w:tcMar>
              <w:top w:w="60" w:type="dxa"/>
              <w:bottom w:w="60" w:type="dxa"/>
              <w:start w:w="110" w:type="dxa"/>
              <w:end w:w="110" w:type="dxa"/>
            </w:tcMar>
          </w:tcPr>
          <w:p>
            <w:pPr>
              <w:jc w:val="right"/>
            </w:pPr>
            <w:r>
              <w:rPr>
                <w:rFonts w:ascii="Arial" w:hAnsi="Arial"/>
                <w:b w:val="0"/>
                <w:color w:val="222222"/>
                <w:sz w:val="19"/>
              </w:rPr>
              <w:t>$880</w:t>
            </w:r>
          </w:p>
        </w:tc>
      </w:tr>
      <w:tr>
        <w:tc>
          <w:tcPr>
            <w:tcW w:type="dxa" w:w="2700"/>
            <w:shd w:val="clear" w:fill="DCE6F1"/>
            <w:tcMar>
              <w:top w:w="60" w:type="dxa"/>
              <w:bottom w:w="60" w:type="dxa"/>
              <w:start w:w="110" w:type="dxa"/>
              <w:end w:w="110" w:type="dxa"/>
            </w:tcMar>
          </w:tcPr>
          <w:p>
            <w:pPr>
              <w:jc w:val="left"/>
            </w:pPr>
            <w:r>
              <w:rPr>
                <w:rFonts w:ascii="Arial" w:hAnsi="Arial"/>
                <w:b/>
                <w:color w:val="222222"/>
                <w:sz w:val="19"/>
              </w:rPr>
              <w:t>Mature</w:t>
            </w:r>
          </w:p>
        </w:tc>
        <w:tc>
          <w:tcPr>
            <w:tcW w:type="dxa" w:w="1700"/>
            <w:shd w:val="clear" w:fill="DCE6F1"/>
            <w:tcMar>
              <w:top w:w="60" w:type="dxa"/>
              <w:bottom w:w="60" w:type="dxa"/>
              <w:start w:w="110" w:type="dxa"/>
              <w:end w:w="110" w:type="dxa"/>
            </w:tcMar>
          </w:tcPr>
          <w:p>
            <w:pPr>
              <w:jc w:val="right"/>
            </w:pPr>
            <w:r>
              <w:rPr>
                <w:rFonts w:ascii="Arial" w:hAnsi="Arial"/>
                <w:b/>
                <w:color w:val="222222"/>
                <w:sz w:val="19"/>
              </w:rPr>
              <w:t>75,000</w:t>
            </w:r>
          </w:p>
        </w:tc>
        <w:tc>
          <w:tcPr>
            <w:tcW w:type="dxa" w:w="1700"/>
            <w:shd w:val="clear" w:fill="DCE6F1"/>
            <w:tcMar>
              <w:top w:w="60" w:type="dxa"/>
              <w:bottom w:w="60" w:type="dxa"/>
              <w:start w:w="110" w:type="dxa"/>
              <w:end w:w="110" w:type="dxa"/>
            </w:tcMar>
          </w:tcPr>
          <w:p>
            <w:pPr>
              <w:jc w:val="right"/>
            </w:pPr>
            <w:r>
              <w:rPr>
                <w:rFonts w:ascii="Arial" w:hAnsi="Arial"/>
                <w:b/>
                <w:color w:val="222222"/>
                <w:sz w:val="19"/>
              </w:rPr>
              <w:t>250,000</w:t>
            </w:r>
          </w:p>
        </w:tc>
        <w:tc>
          <w:tcPr>
            <w:tcW w:type="dxa" w:w="1480"/>
            <w:shd w:val="clear" w:fill="DCE6F1"/>
            <w:tcMar>
              <w:top w:w="60" w:type="dxa"/>
              <w:bottom w:w="60" w:type="dxa"/>
              <w:start w:w="110" w:type="dxa"/>
              <w:end w:w="110" w:type="dxa"/>
            </w:tcMar>
          </w:tcPr>
          <w:p>
            <w:pPr>
              <w:jc w:val="right"/>
            </w:pPr>
            <w:r>
              <w:rPr>
                <w:rFonts w:ascii="Arial" w:hAnsi="Arial"/>
                <w:b/>
                <w:color w:val="222222"/>
                <w:sz w:val="19"/>
              </w:rPr>
              <w:t>$59</w:t>
            </w:r>
          </w:p>
        </w:tc>
        <w:tc>
          <w:tcPr>
            <w:tcW w:type="dxa" w:w="1780"/>
            <w:shd w:val="clear" w:fill="DCE6F1"/>
            <w:tcMar>
              <w:top w:w="60" w:type="dxa"/>
              <w:bottom w:w="60" w:type="dxa"/>
              <w:start w:w="110" w:type="dxa"/>
              <w:end w:w="110" w:type="dxa"/>
            </w:tcMar>
          </w:tcPr>
          <w:p>
            <w:pPr>
              <w:jc w:val="right"/>
            </w:pPr>
            <w:r>
              <w:rPr>
                <w:rFonts w:ascii="Arial" w:hAnsi="Arial"/>
                <w:b/>
                <w:color w:val="222222"/>
                <w:sz w:val="19"/>
              </w:rPr>
              <w:t>$880</w:t>
            </w:r>
          </w:p>
        </w:tc>
      </w:tr>
      <w:tr>
        <w:tc>
          <w:tcPr>
            <w:tcW w:type="dxa" w:w="2700"/>
            <w:shd w:val="clear" w:fill="F4F7FB"/>
            <w:tcMar>
              <w:top w:w="60" w:type="dxa"/>
              <w:bottom w:w="60" w:type="dxa"/>
              <w:start w:w="110" w:type="dxa"/>
              <w:end w:w="110" w:type="dxa"/>
            </w:tcMar>
          </w:tcPr>
          <w:p>
            <w:pPr>
              <w:jc w:val="left"/>
            </w:pPr>
            <w:r>
              <w:rPr>
                <w:rFonts w:ascii="Arial" w:hAnsi="Arial"/>
                <w:b/>
                <w:color w:val="222222"/>
                <w:sz w:val="19"/>
              </w:rPr>
              <w:t>Peak (Akron ceiling)</w:t>
            </w:r>
          </w:p>
        </w:tc>
        <w:tc>
          <w:tcPr>
            <w:tcW w:type="dxa" w:w="1700"/>
            <w:shd w:val="clear" w:fill="F4F7FB"/>
            <w:tcMar>
              <w:top w:w="60" w:type="dxa"/>
              <w:bottom w:w="60" w:type="dxa"/>
              <w:start w:w="110" w:type="dxa"/>
              <w:end w:w="110" w:type="dxa"/>
            </w:tcMar>
          </w:tcPr>
          <w:p>
            <w:pPr>
              <w:jc w:val="right"/>
            </w:pPr>
            <w:r>
              <w:rPr>
                <w:rFonts w:ascii="Arial" w:hAnsi="Arial"/>
                <w:b w:val="0"/>
                <w:color w:val="222222"/>
                <w:sz w:val="19"/>
              </w:rPr>
              <w:t>200,000</w:t>
            </w:r>
          </w:p>
        </w:tc>
        <w:tc>
          <w:tcPr>
            <w:tcW w:type="dxa" w:w="1700"/>
            <w:shd w:val="clear" w:fill="F4F7FB"/>
            <w:tcMar>
              <w:top w:w="60" w:type="dxa"/>
              <w:bottom w:w="60" w:type="dxa"/>
              <w:start w:w="110" w:type="dxa"/>
              <w:end w:w="110" w:type="dxa"/>
            </w:tcMar>
          </w:tcPr>
          <w:p>
            <w:pPr>
              <w:jc w:val="right"/>
            </w:pPr>
            <w:r>
              <w:rPr>
                <w:rFonts w:ascii="Arial" w:hAnsi="Arial"/>
                <w:b w:val="0"/>
                <w:color w:val="222222"/>
                <w:sz w:val="19"/>
              </w:rPr>
              <w:t>1,000,000</w:t>
            </w:r>
          </w:p>
        </w:tc>
        <w:tc>
          <w:tcPr>
            <w:tcW w:type="dxa" w:w="1480"/>
            <w:shd w:val="clear" w:fill="F4F7FB"/>
            <w:tcMar>
              <w:top w:w="60" w:type="dxa"/>
              <w:bottom w:w="60" w:type="dxa"/>
              <w:start w:w="110" w:type="dxa"/>
              <w:end w:w="110" w:type="dxa"/>
            </w:tcMar>
          </w:tcPr>
          <w:p>
            <w:pPr>
              <w:jc w:val="right"/>
            </w:pPr>
            <w:r>
              <w:rPr>
                <w:rFonts w:ascii="Arial" w:hAnsi="Arial"/>
                <w:b w:val="0"/>
                <w:color w:val="222222"/>
                <w:sz w:val="19"/>
              </w:rPr>
              <w:t>$59</w:t>
            </w:r>
          </w:p>
        </w:tc>
        <w:tc>
          <w:tcPr>
            <w:tcW w:type="dxa" w:w="1780"/>
            <w:shd w:val="clear" w:fill="F4F7FB"/>
            <w:tcMar>
              <w:top w:w="60" w:type="dxa"/>
              <w:bottom w:w="60" w:type="dxa"/>
              <w:start w:w="110" w:type="dxa"/>
              <w:end w:w="110" w:type="dxa"/>
            </w:tcMar>
          </w:tcPr>
          <w:p>
            <w:pPr>
              <w:jc w:val="right"/>
            </w:pPr>
            <w:r>
              <w:rPr>
                <w:rFonts w:ascii="Arial" w:hAnsi="Arial"/>
                <w:b w:val="0"/>
                <w:color w:val="222222"/>
                <w:sz w:val="19"/>
              </w:rPr>
              <w:t>$880</w:t>
            </w:r>
          </w:p>
        </w:tc>
      </w:tr>
      <w:tr>
        <w:tc>
          <w:tcPr>
            <w:tcW w:type="dxa" w:w="2700"/>
            <w:shd w:val="clear" w:fill="FFFFFF"/>
            <w:tcMar>
              <w:top w:w="60" w:type="dxa"/>
              <w:bottom w:w="60" w:type="dxa"/>
              <w:start w:w="110" w:type="dxa"/>
              <w:end w:w="110" w:type="dxa"/>
            </w:tcMar>
          </w:tcPr>
          <w:p>
            <w:pPr>
              <w:jc w:val="left"/>
            </w:pPr>
            <w:r>
              <w:rPr>
                <w:rFonts w:ascii="Arial" w:hAnsi="Arial"/>
                <w:b/>
                <w:color w:val="222222"/>
                <w:sz w:val="19"/>
              </w:rPr>
              <w:t>Stress (beyond Akron)</w:t>
            </w:r>
          </w:p>
        </w:tc>
        <w:tc>
          <w:tcPr>
            <w:tcW w:type="dxa" w:w="1700"/>
            <w:shd w:val="clear" w:fill="FFFFFF"/>
            <w:tcMar>
              <w:top w:w="60" w:type="dxa"/>
              <w:bottom w:w="60" w:type="dxa"/>
              <w:start w:w="110" w:type="dxa"/>
              <w:end w:w="110" w:type="dxa"/>
            </w:tcMar>
          </w:tcPr>
          <w:p>
            <w:pPr>
              <w:jc w:val="right"/>
            </w:pPr>
            <w:r>
              <w:rPr>
                <w:rFonts w:ascii="Arial" w:hAnsi="Arial"/>
                <w:b w:val="0"/>
                <w:color w:val="222222"/>
                <w:sz w:val="19"/>
              </w:rPr>
              <w:t>1,000,000</w:t>
            </w:r>
          </w:p>
        </w:tc>
        <w:tc>
          <w:tcPr>
            <w:tcW w:type="dxa" w:w="1700"/>
            <w:shd w:val="clear" w:fill="FFFFFF"/>
            <w:tcMar>
              <w:top w:w="60" w:type="dxa"/>
              <w:bottom w:w="60" w:type="dxa"/>
              <w:start w:w="110" w:type="dxa"/>
              <w:end w:w="110" w:type="dxa"/>
            </w:tcMar>
          </w:tcPr>
          <w:p>
            <w:pPr>
              <w:jc w:val="right"/>
            </w:pPr>
            <w:r>
              <w:rPr>
                <w:rFonts w:ascii="Arial" w:hAnsi="Arial"/>
                <w:b w:val="0"/>
                <w:color w:val="222222"/>
                <w:sz w:val="19"/>
              </w:rPr>
              <w:t>5,000,000</w:t>
            </w:r>
          </w:p>
        </w:tc>
        <w:tc>
          <w:tcPr>
            <w:tcW w:type="dxa" w:w="1480"/>
            <w:shd w:val="clear" w:fill="FFFFFF"/>
            <w:tcMar>
              <w:top w:w="60" w:type="dxa"/>
              <w:bottom w:w="60" w:type="dxa"/>
              <w:start w:w="110" w:type="dxa"/>
              <w:end w:w="110" w:type="dxa"/>
            </w:tcMar>
          </w:tcPr>
          <w:p>
            <w:pPr>
              <w:jc w:val="right"/>
            </w:pPr>
            <w:r>
              <w:rPr>
                <w:rFonts w:ascii="Arial" w:hAnsi="Arial"/>
                <w:b w:val="0"/>
                <w:color w:val="222222"/>
                <w:sz w:val="19"/>
              </w:rPr>
              <w:t>$1,467</w:t>
            </w:r>
          </w:p>
        </w:tc>
        <w:tc>
          <w:tcPr>
            <w:tcW w:type="dxa" w:w="1780"/>
            <w:shd w:val="clear" w:fill="FFFFFF"/>
            <w:tcMar>
              <w:top w:w="60" w:type="dxa"/>
              <w:bottom w:w="60" w:type="dxa"/>
              <w:start w:w="110" w:type="dxa"/>
              <w:end w:w="110" w:type="dxa"/>
            </w:tcMar>
          </w:tcPr>
          <w:p>
            <w:pPr>
              <w:jc w:val="right"/>
            </w:pPr>
            <w:r>
              <w:rPr>
                <w:rFonts w:ascii="Arial" w:hAnsi="Arial"/>
                <w:b w:val="0"/>
                <w:color w:val="222222"/>
                <w:sz w:val="19"/>
              </w:rPr>
              <w:t>$21,998</w:t>
            </w:r>
          </w:p>
        </w:tc>
      </w:tr>
    </w:tbl>
    <w:p>
      <w:pPr>
        <w:spacing w:after="40"/>
      </w:pPr>
    </w:p>
    <w:p>
      <w:pPr>
        <w:spacing w:after="160" w:before="0" w:line="276" w:lineRule="auto"/>
      </w:pPr>
      <w:r>
        <w:rPr>
          <w:rFonts w:ascii="Arial" w:hAnsi="Arial"/>
          <w:b w:val="0"/>
          <w:i w:val="0"/>
          <w:color w:val="222222"/>
          <w:sz w:val="17"/>
        </w:rPr>
        <w:t>*Annual figure includes a 25% contingency buffer on top of the monthly infrastructure subtotal.</w:t>
      </w:r>
    </w:p>
    <w:p>
      <w:pPr>
        <w:spacing w:after="160" w:before="0" w:line="276" w:lineRule="auto"/>
      </w:pPr>
      <w:r>
        <w:rPr>
          <w:rFonts w:ascii="Arial" w:hAnsi="Arial"/>
          <w:b w:val="0"/>
          <w:i w:val="0"/>
          <w:color w:val="222222"/>
          <w:sz w:val="21"/>
        </w:rPr>
        <w:t>The flat $880/year across the first four scenarios is not a modeling artifact; it is the finding. Demand never exceeds the included plan allowances, so the only costs are the two fixed Pro subscriptions, the domain, and the scraper scheduler. The one figure worth watching is in the Peak scenario, where projected map loads reach exactly the 50,000 free-tier limit. That is the first ceiling Akron Pulse would ever approach, and even then the cost of crossing it is gentle: about $5 per additional thousand map loads, or a one-time switch to a cheaper map tier.</w:t>
      </w:r>
    </w:p>
    <w:p>
      <w:pPr>
        <w:spacing w:before="260" w:after="120"/>
        <w:pBdr>
          <w:bottom w:val="single" w:sz="4" w:space="4" w:color="DCE6F1"/>
        </w:pBdr>
      </w:pPr>
      <w:r>
        <w:rPr>
          <w:rFonts w:ascii="Arial" w:hAnsi="Arial"/>
          <w:b/>
          <w:color w:val="1F3A5F"/>
          <w:sz w:val="28"/>
        </w:rPr>
        <w:t>Where the Cost Cliffs Are, and Risk Management</w:t>
      </w:r>
    </w:p>
    <w:p>
      <w:pPr>
        <w:spacing w:after="160" w:before="0" w:line="276" w:lineRule="auto"/>
      </w:pPr>
      <w:r>
        <w:rPr>
          <w:rFonts w:ascii="Arial" w:hAnsi="Arial"/>
          <w:b w:val="0"/>
          <w:i w:val="0"/>
          <w:color w:val="222222"/>
          <w:sz w:val="21"/>
        </w:rPr>
        <w:t>The stress column exists to answer the natural follow-up: what would it take to make this expensive? The answer is traffic on the order of a million site visits and five million embed impressions per month, roughly the engaged audience of a major metro, not a city of 190,000. Only there do overages appear, led by Vercel bandwidth, and the total is still only about $22,000 per year. There is no scenario in which Akron-only demand produces a surprising bill.</w:t>
      </w:r>
    </w:p>
    <w:p>
      <w:pPr>
        <w:spacing w:after="160" w:before="0" w:line="276" w:lineRule="auto"/>
      </w:pPr>
      <w:r>
        <w:rPr>
          <w:rFonts w:ascii="Arial" w:hAnsi="Arial"/>
          <w:b w:val="0"/>
          <w:i w:val="0"/>
          <w:color w:val="222222"/>
          <w:sz w:val="21"/>
        </w:rPr>
        <w:t>A handful of second-order risks are worth naming for completeness, all of which the 25% contingency buffer is sized to absorb:</w:t>
      </w:r>
    </w:p>
    <w:p>
      <w:pPr>
        <w:pStyle w:val="ListBullet"/>
        <w:spacing w:after="80" w:line="269" w:lineRule="auto"/>
      </w:pPr>
      <w:r>
        <w:rPr>
          <w:rFonts w:ascii="Arial" w:hAnsi="Arial"/>
          <w:b/>
          <w:color w:val="222222"/>
          <w:sz w:val="21"/>
        </w:rPr>
        <w:t xml:space="preserve">Supabase database compute. </w:t>
      </w:r>
      <w:r>
        <w:rPr>
          <w:rFonts w:ascii="Arial" w:hAnsi="Arial"/>
          <w:b w:val="0"/>
          <w:color w:val="222222"/>
          <w:sz w:val="21"/>
        </w:rPr>
        <w:t>Sustained high request concurrency could eventually warrant a compute add-on ($10 to $60/mo). Connection pooling makes this unlikely within Akron scale.</w:t>
      </w:r>
    </w:p>
    <w:p>
      <w:pPr>
        <w:pStyle w:val="ListBullet"/>
        <w:spacing w:after="80" w:line="269" w:lineRule="auto"/>
      </w:pPr>
      <w:r>
        <w:rPr>
          <w:rFonts w:ascii="Arial" w:hAnsi="Arial"/>
          <w:b/>
          <w:color w:val="222222"/>
          <w:sz w:val="21"/>
        </w:rPr>
        <w:t xml:space="preserve">Vercel image optimization. </w:t>
      </w:r>
      <w:r>
        <w:rPr>
          <w:rFonts w:ascii="Arial" w:hAnsi="Arial"/>
          <w:b w:val="0"/>
          <w:color w:val="222222"/>
          <w:sz w:val="21"/>
        </w:rPr>
        <w:t>Event images are optimized on the fly and billed separately from bandwidth; heavy image traffic could add a modest amount, included in the buffer.</w:t>
      </w:r>
    </w:p>
    <w:p>
      <w:pPr>
        <w:pStyle w:val="ListBullet"/>
        <w:spacing w:after="80" w:line="269" w:lineRule="auto"/>
      </w:pPr>
      <w:r>
        <w:rPr>
          <w:rFonts w:ascii="Arial" w:hAnsi="Arial"/>
          <w:b/>
          <w:color w:val="222222"/>
          <w:sz w:val="21"/>
        </w:rPr>
        <w:t xml:space="preserve">Map adoption higher than assumed. </w:t>
      </w:r>
      <w:r>
        <w:rPr>
          <w:rFonts w:ascii="Arial" w:hAnsi="Arial"/>
          <w:b w:val="0"/>
          <w:color w:val="222222"/>
          <w:sz w:val="21"/>
        </w:rPr>
        <w:t>If far more visitors use the map than the 15% assumed, Mapbox costs rise; the mitigation is a cheaper base-map tier, a known, low-effort change.</w:t>
      </w:r>
    </w:p>
    <w:p>
      <w:pPr>
        <w:pStyle w:val="ListBullet"/>
        <w:spacing w:after="80" w:line="269" w:lineRule="auto"/>
      </w:pPr>
      <w:r>
        <w:rPr>
          <w:rFonts w:ascii="Arial" w:hAnsi="Arial"/>
          <w:b/>
          <w:color w:val="222222"/>
          <w:sz w:val="21"/>
        </w:rPr>
        <w:t xml:space="preserve">Price changes. </w:t>
      </w:r>
      <w:r>
        <w:rPr>
          <w:rFonts w:ascii="Arial" w:hAnsi="Arial"/>
          <w:b w:val="0"/>
          <w:color w:val="222222"/>
          <w:sz w:val="21"/>
        </w:rPr>
        <w:t>Vendor pricing can shift; the model is built so a single edit to the Assumptions tab re-runs every figure.</w:t>
      </w:r>
    </w:p>
    <w:p>
      <w:pPr>
        <w:spacing w:before="260" w:after="120"/>
        <w:pBdr>
          <w:bottom w:val="single" w:sz="4" w:space="4" w:color="DCE6F1"/>
        </w:pBdr>
      </w:pPr>
      <w:r>
        <w:rPr>
          <w:rFonts w:ascii="Arial" w:hAnsi="Arial"/>
          <w:b/>
          <w:color w:val="1F3A5F"/>
          <w:sz w:val="28"/>
        </w:rPr>
        <w:t>The Grant Ask</w:t>
      </w:r>
    </w:p>
    <w:p>
      <w:pPr>
        <w:spacing w:after="160" w:before="0" w:line="276" w:lineRule="auto"/>
      </w:pPr>
      <w:r>
        <w:rPr>
          <w:rFonts w:ascii="Arial" w:hAnsi="Arial"/>
          <w:b w:val="0"/>
          <w:i w:val="0"/>
          <w:color w:val="222222"/>
          <w:sz w:val="21"/>
        </w:rPr>
        <w:t>Funders are best served by a number planned to the Mature scenario, so the platform is covered through strong adoption without a mid-grant funding gap. Two framings are offered: infrastructure-only, and a fully-loaded figure that values the maintainer's donated time at a conservative rate.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560"/>
            <w:shd w:val="clear" w:fill="1F3A5F"/>
            <w:tcMar>
              <w:top w:w="60" w:type="dxa"/>
              <w:bottom w:w="60" w:type="dxa"/>
              <w:start w:w="110" w:type="dxa"/>
              <w:end w:w="110" w:type="dxa"/>
            </w:tcMar>
          </w:tcPr>
          <w:p>
            <w:pPr>
              <w:jc w:val="left"/>
            </w:pPr>
            <w:r>
              <w:rPr>
                <w:rFonts w:ascii="Arial" w:hAnsi="Arial"/>
                <w:b/>
                <w:color w:val="FFFFFF"/>
                <w:sz w:val="19"/>
              </w:rPr>
              <w:t>Budget line</w:t>
            </w:r>
          </w:p>
        </w:tc>
        <w:tc>
          <w:tcPr>
            <w:tcW w:type="dxa" w:w="2400"/>
            <w:shd w:val="clear" w:fill="1F3A5F"/>
            <w:tcMar>
              <w:top w:w="60" w:type="dxa"/>
              <w:bottom w:w="60" w:type="dxa"/>
              <w:start w:w="110" w:type="dxa"/>
              <w:end w:w="110" w:type="dxa"/>
            </w:tcMar>
          </w:tcPr>
          <w:p>
            <w:pPr>
              <w:jc w:val="right"/>
            </w:pPr>
            <w:r>
              <w:rPr>
                <w:rFonts w:ascii="Arial" w:hAnsi="Arial"/>
                <w:b/>
                <w:color w:val="FFFFFF"/>
                <w:sz w:val="19"/>
              </w:rPr>
              <w:t>1 year</w:t>
            </w:r>
          </w:p>
        </w:tc>
        <w:tc>
          <w:tcPr>
            <w:tcW w:type="dxa" w:w="2400"/>
            <w:shd w:val="clear" w:fill="1F3A5F"/>
            <w:tcMar>
              <w:top w:w="60" w:type="dxa"/>
              <w:bottom w:w="60" w:type="dxa"/>
              <w:start w:w="110" w:type="dxa"/>
              <w:end w:w="110" w:type="dxa"/>
            </w:tcMar>
          </w:tcPr>
          <w:p>
            <w:pPr>
              <w:jc w:val="right"/>
            </w:pPr>
            <w:r>
              <w:rPr>
                <w:rFonts w:ascii="Arial" w:hAnsi="Arial"/>
                <w:b/>
                <w:color w:val="FFFFFF"/>
                <w:sz w:val="19"/>
              </w:rPr>
              <w:t>3 years</w:t>
            </w:r>
          </w:p>
        </w:tc>
      </w:tr>
      <w:tr>
        <w:tc>
          <w:tcPr>
            <w:tcW w:type="dxa" w:w="4560"/>
            <w:shd w:val="clear" w:fill="FFFFFF"/>
            <w:tcMar>
              <w:top w:w="60" w:type="dxa"/>
              <w:bottom w:w="60" w:type="dxa"/>
              <w:start w:w="110" w:type="dxa"/>
              <w:end w:w="110" w:type="dxa"/>
            </w:tcMar>
          </w:tcPr>
          <w:p>
            <w:pPr>
              <w:jc w:val="left"/>
            </w:pPr>
            <w:r>
              <w:rPr>
                <w:rFonts w:ascii="Arial" w:hAnsi="Arial"/>
                <w:b/>
                <w:color w:val="222222"/>
                <w:sz w:val="19"/>
              </w:rPr>
              <w:t>Infrastructure (incl. contingency)</w:t>
            </w:r>
          </w:p>
        </w:tc>
        <w:tc>
          <w:tcPr>
            <w:tcW w:type="dxa" w:w="2400"/>
            <w:shd w:val="clear" w:fill="FFFFFF"/>
            <w:tcMar>
              <w:top w:w="60" w:type="dxa"/>
              <w:bottom w:w="60" w:type="dxa"/>
              <w:start w:w="110" w:type="dxa"/>
              <w:end w:w="110" w:type="dxa"/>
            </w:tcMar>
          </w:tcPr>
          <w:p>
            <w:pPr>
              <w:jc w:val="right"/>
            </w:pPr>
            <w:r>
              <w:rPr>
                <w:rFonts w:ascii="Arial" w:hAnsi="Arial"/>
                <w:b w:val="0"/>
                <w:color w:val="222222"/>
                <w:sz w:val="19"/>
              </w:rPr>
              <w:t>$880</w:t>
            </w:r>
          </w:p>
        </w:tc>
        <w:tc>
          <w:tcPr>
            <w:tcW w:type="dxa" w:w="2400"/>
            <w:shd w:val="clear" w:fill="FFFFFF"/>
            <w:tcMar>
              <w:top w:w="60" w:type="dxa"/>
              <w:bottom w:w="60" w:type="dxa"/>
              <w:start w:w="110" w:type="dxa"/>
              <w:end w:w="110" w:type="dxa"/>
            </w:tcMar>
          </w:tcPr>
          <w:p>
            <w:pPr>
              <w:jc w:val="right"/>
            </w:pPr>
            <w:r>
              <w:rPr>
                <w:rFonts w:ascii="Arial" w:hAnsi="Arial"/>
                <w:b w:val="0"/>
                <w:color w:val="222222"/>
                <w:sz w:val="19"/>
              </w:rPr>
              <w:t>$2,640</w:t>
            </w:r>
          </w:p>
        </w:tc>
      </w:tr>
      <w:tr>
        <w:tc>
          <w:tcPr>
            <w:tcW w:type="dxa" w:w="4560"/>
            <w:shd w:val="clear" w:fill="F4F7FB"/>
            <w:tcMar>
              <w:top w:w="60" w:type="dxa"/>
              <w:bottom w:w="60" w:type="dxa"/>
              <w:start w:w="110" w:type="dxa"/>
              <w:end w:w="110" w:type="dxa"/>
            </w:tcMar>
          </w:tcPr>
          <w:p>
            <w:pPr>
              <w:jc w:val="left"/>
            </w:pPr>
            <w:r>
              <w:rPr>
                <w:rFonts w:ascii="Arial" w:hAnsi="Arial"/>
                <w:b/>
                <w:color w:val="222222"/>
                <w:sz w:val="19"/>
              </w:rPr>
              <w:t>Valued maintenance labor (8 hrs/mo @ $50)</w:t>
            </w:r>
          </w:p>
        </w:tc>
        <w:tc>
          <w:tcPr>
            <w:tcW w:type="dxa" w:w="2400"/>
            <w:shd w:val="clear" w:fill="F4F7FB"/>
            <w:tcMar>
              <w:top w:w="60" w:type="dxa"/>
              <w:bottom w:w="60" w:type="dxa"/>
              <w:start w:w="110" w:type="dxa"/>
              <w:end w:w="110" w:type="dxa"/>
            </w:tcMar>
          </w:tcPr>
          <w:p>
            <w:pPr>
              <w:jc w:val="right"/>
            </w:pPr>
            <w:r>
              <w:rPr>
                <w:rFonts w:ascii="Arial" w:hAnsi="Arial"/>
                <w:b w:val="0"/>
                <w:color w:val="222222"/>
                <w:sz w:val="19"/>
              </w:rPr>
              <w:t>$4,800</w:t>
            </w:r>
          </w:p>
        </w:tc>
        <w:tc>
          <w:tcPr>
            <w:tcW w:type="dxa" w:w="2400"/>
            <w:shd w:val="clear" w:fill="F4F7FB"/>
            <w:tcMar>
              <w:top w:w="60" w:type="dxa"/>
              <w:bottom w:w="60" w:type="dxa"/>
              <w:start w:w="110" w:type="dxa"/>
              <w:end w:w="110" w:type="dxa"/>
            </w:tcMar>
          </w:tcPr>
          <w:p>
            <w:pPr>
              <w:jc w:val="right"/>
            </w:pPr>
            <w:r>
              <w:rPr>
                <w:rFonts w:ascii="Arial" w:hAnsi="Arial"/>
                <w:b w:val="0"/>
                <w:color w:val="222222"/>
                <w:sz w:val="19"/>
              </w:rPr>
              <w:t>$14,400</w:t>
            </w:r>
          </w:p>
        </w:tc>
      </w:tr>
      <w:tr>
        <w:tc>
          <w:tcPr>
            <w:tcW w:type="dxa" w:w="4560"/>
            <w:shd w:val="clear" w:fill="DCE6F1"/>
            <w:tcMar>
              <w:top w:w="60" w:type="dxa"/>
              <w:bottom w:w="60" w:type="dxa"/>
              <w:start w:w="110" w:type="dxa"/>
              <w:end w:w="110" w:type="dxa"/>
            </w:tcMar>
          </w:tcPr>
          <w:p>
            <w:pPr>
              <w:jc w:val="left"/>
            </w:pPr>
            <w:r>
              <w:rPr>
                <w:rFonts w:ascii="Arial" w:hAnsi="Arial"/>
                <w:b/>
                <w:color w:val="222222"/>
                <w:sz w:val="19"/>
              </w:rPr>
              <w:t>All-in (infrastructure + labor)</w:t>
            </w:r>
          </w:p>
        </w:tc>
        <w:tc>
          <w:tcPr>
            <w:tcW w:type="dxa" w:w="2400"/>
            <w:shd w:val="clear" w:fill="DCE6F1"/>
            <w:tcMar>
              <w:top w:w="60" w:type="dxa"/>
              <w:bottom w:w="60" w:type="dxa"/>
              <w:start w:w="110" w:type="dxa"/>
              <w:end w:w="110" w:type="dxa"/>
            </w:tcMar>
          </w:tcPr>
          <w:p>
            <w:pPr>
              <w:jc w:val="right"/>
            </w:pPr>
            <w:r>
              <w:rPr>
                <w:rFonts w:ascii="Arial" w:hAnsi="Arial"/>
                <w:b/>
                <w:color w:val="222222"/>
                <w:sz w:val="19"/>
              </w:rPr>
              <w:t>$5,680</w:t>
            </w:r>
          </w:p>
        </w:tc>
        <w:tc>
          <w:tcPr>
            <w:tcW w:type="dxa" w:w="2400"/>
            <w:shd w:val="clear" w:fill="DCE6F1"/>
            <w:tcMar>
              <w:top w:w="60" w:type="dxa"/>
              <w:bottom w:w="60" w:type="dxa"/>
              <w:start w:w="110" w:type="dxa"/>
              <w:end w:w="110" w:type="dxa"/>
            </w:tcMar>
          </w:tcPr>
          <w:p>
            <w:pPr>
              <w:jc w:val="right"/>
            </w:pPr>
            <w:r>
              <w:rPr>
                <w:rFonts w:ascii="Arial" w:hAnsi="Arial"/>
                <w:b/>
                <w:color w:val="222222"/>
                <w:sz w:val="19"/>
              </w:rPr>
              <w:t>$17,040</w:t>
            </w:r>
          </w:p>
        </w:tc>
      </w:tr>
    </w:tbl>
    <w:p>
      <w:pPr>
        <w:spacing w:after="40"/>
      </w:pPr>
    </w:p>
    <w:p>
      <w:pPr>
        <w:spacing w:after="160" w:before="0" w:line="276" w:lineRule="auto"/>
      </w:pPr>
      <w:r>
        <w:rPr>
          <w:rFonts w:ascii="Arial" w:hAnsi="Arial"/>
          <w:b/>
          <w:i w:val="0"/>
          <w:color w:val="222222"/>
          <w:sz w:val="21"/>
        </w:rPr>
        <w:t xml:space="preserve">Suggested application language: </w:t>
      </w:r>
      <w:r>
        <w:rPr>
          <w:rFonts w:ascii="Arial" w:hAnsi="Arial"/>
          <w:b w:val="0"/>
          <w:i/>
          <w:color w:val="222222"/>
          <w:sz w:val="21"/>
        </w:rPr>
        <w:t>“Akron Pulse operates on a lean, modern cloud architecture with a projected annual infrastructure cost of approximately $880, including a contingency buffer. This figure remains stable across the platform's full realistic growth range for the Akron market because the application is engineered to serve most traffic from cached, fixed-cost infrastructure. A fully-loaded budget that values ongoing maintenance is approximately $5,680 per year.”</w:t>
      </w:r>
    </w:p>
    <w:p>
      <w:pPr>
        <w:spacing w:after="160" w:before="0" w:line="276" w:lineRule="auto"/>
      </w:pPr>
      <w:r>
        <w:rPr>
          <w:rFonts w:ascii="Arial" w:hAnsi="Arial"/>
          <w:b w:val="0"/>
          <w:i w:val="0"/>
          <w:color w:val="222222"/>
          <w:sz w:val="21"/>
        </w:rPr>
        <w:t>This makes a strong case in a grant narrative on two fronts. It demonstrates fiscal responsibility, a public-benefit service delivered to an entire county for the price of a phone plan, and it demonstrates engineering discipline, a system whose costs are designed to stay flat as it scales.</w:t>
      </w:r>
    </w:p>
    <w:p>
      <w:pPr>
        <w:spacing w:before="260" w:after="120"/>
        <w:pBdr>
          <w:bottom w:val="single" w:sz="4" w:space="4" w:color="DCE6F1"/>
        </w:pBdr>
      </w:pPr>
      <w:r>
        <w:rPr>
          <w:rFonts w:ascii="Arial" w:hAnsi="Arial"/>
          <w:b/>
          <w:color w:val="1F3A5F"/>
          <w:sz w:val="28"/>
        </w:rPr>
        <w:t>Sources</w:t>
      </w:r>
    </w:p>
    <w:p>
      <w:pPr>
        <w:spacing w:after="80"/>
      </w:pPr>
      <w:r>
        <w:rPr>
          <w:rFonts w:ascii="Arial" w:hAnsi="Arial"/>
          <w:color w:val="222222"/>
          <w:sz w:val="19"/>
        </w:rPr>
        <w:t xml:space="preserve">Akron / Summit County / MSA population (2025 Census estimates)  </w:t>
      </w:r>
      <w:r>
        <w:rPr>
          <w:rFonts w:ascii="Arial" w:hAnsi="Arial"/>
          <w:color w:val="2E75B6"/>
          <w:sz w:val="19"/>
          <w:u w:val="single"/>
        </w:rPr>
        <w:t>https://worldpopulationreview.com/us-cities/ohio/akron</w:t>
      </w:r>
    </w:p>
    <w:p>
      <w:pPr>
        <w:spacing w:after="80"/>
      </w:pPr>
      <w:r>
        <w:rPr>
          <w:rFonts w:ascii="Arial" w:hAnsi="Arial"/>
          <w:color w:val="222222"/>
          <w:sz w:val="19"/>
        </w:rPr>
        <w:t xml:space="preserve">Akron-Summit County Public Library annual visits  </w:t>
      </w:r>
      <w:r>
        <w:rPr>
          <w:rFonts w:ascii="Arial" w:hAnsi="Arial"/>
          <w:color w:val="2E75B6"/>
          <w:sz w:val="19"/>
          <w:u w:val="single"/>
        </w:rPr>
        <w:t>https://www.akronlibrary.org/about/annual-reports</w:t>
      </w:r>
    </w:p>
    <w:p>
      <w:pPr>
        <w:spacing w:after="80"/>
      </w:pPr>
      <w:r>
        <w:rPr>
          <w:rFonts w:ascii="Arial" w:hAnsi="Arial"/>
          <w:color w:val="222222"/>
          <w:sz w:val="19"/>
        </w:rPr>
        <w:t xml:space="preserve">Signal Akron events guide and newsletter audience  </w:t>
      </w:r>
      <w:r>
        <w:rPr>
          <w:rFonts w:ascii="Arial" w:hAnsi="Arial"/>
          <w:color w:val="2E75B6"/>
          <w:sz w:val="19"/>
          <w:u w:val="single"/>
        </w:rPr>
        <w:t>https://signalakron.org/things-to-do-in-akron-ohio-summit-county/</w:t>
      </w:r>
    </w:p>
    <w:p>
      <w:pPr>
        <w:spacing w:after="80"/>
      </w:pPr>
      <w:r>
        <w:rPr>
          <w:rFonts w:ascii="Arial" w:hAnsi="Arial"/>
          <w:color w:val="222222"/>
          <w:sz w:val="19"/>
        </w:rPr>
        <w:t xml:space="preserve">Vercel pricing and plan allowances (2026)  </w:t>
      </w:r>
      <w:r>
        <w:rPr>
          <w:rFonts w:ascii="Arial" w:hAnsi="Arial"/>
          <w:color w:val="2E75B6"/>
          <w:sz w:val="19"/>
          <w:u w:val="single"/>
        </w:rPr>
        <w:t>https://vercel.com/pricing</w:t>
      </w:r>
    </w:p>
    <w:p>
      <w:pPr>
        <w:spacing w:after="80"/>
      </w:pPr>
      <w:r>
        <w:rPr>
          <w:rFonts w:ascii="Arial" w:hAnsi="Arial"/>
          <w:color w:val="222222"/>
          <w:sz w:val="19"/>
        </w:rPr>
        <w:t xml:space="preserve">Supabase pricing and plan allowances (2026)  </w:t>
      </w:r>
      <w:r>
        <w:rPr>
          <w:rFonts w:ascii="Arial" w:hAnsi="Arial"/>
          <w:color w:val="2E75B6"/>
          <w:sz w:val="19"/>
          <w:u w:val="single"/>
        </w:rPr>
        <w:t>https://supabase.com/pricing</w:t>
      </w:r>
    </w:p>
    <w:p>
      <w:pPr>
        <w:spacing w:after="80"/>
      </w:pPr>
      <w:r>
        <w:rPr>
          <w:rFonts w:ascii="Arial" w:hAnsi="Arial"/>
          <w:color w:val="222222"/>
          <w:sz w:val="19"/>
        </w:rPr>
        <w:t xml:space="preserve">Mapbox pricing and free map-load tier (2026)  </w:t>
      </w:r>
      <w:r>
        <w:rPr>
          <w:rFonts w:ascii="Arial" w:hAnsi="Arial"/>
          <w:color w:val="2E75B6"/>
          <w:sz w:val="19"/>
          <w:u w:val="single"/>
        </w:rPr>
        <w:t>https://www.mapbox.com/pricing</w:t>
      </w:r>
    </w:p>
    <w:p>
      <w:pPr>
        <w:spacing w:after="80"/>
      </w:pPr>
      <w:r>
        <w:rPr>
          <w:rFonts w:ascii="Arial" w:hAnsi="Arial"/>
          <w:color w:val="222222"/>
          <w:sz w:val="19"/>
        </w:rPr>
        <w:t xml:space="preserve">Resend transactional email pricing (2026)  </w:t>
      </w:r>
      <w:r>
        <w:rPr>
          <w:rFonts w:ascii="Arial" w:hAnsi="Arial"/>
          <w:color w:val="2E75B6"/>
          <w:sz w:val="19"/>
          <w:u w:val="single"/>
        </w:rPr>
        <w:t>https://resend.com/pricing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6"/>
      </w:rPr>
      <w:t>Prepared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99999"/>
        <w:sz w:val="16"/>
      </w:rPr>
      <w:t>Akron Pulse  ·  Infrastructure Cost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