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gri Serif SC" w:hAnsi="Agri Serif SC" w:eastAsia="Agri Serif SC" w:cs="Agri Serif SC"/>
        </w:rPr>
        <w:t>辽宁农业价格监测项目简报</w:t>
      </w:r>
    </w:p>
    <w:p>
      <w:pPr>
        <w:pStyle w:val="Heading1"/>
      </w:pPr>
      <w:r>
        <w:rPr>
          <w:rFonts w:ascii="Agri Serif SC" w:hAnsi="Agri Serif SC" w:eastAsia="Agri Serif SC" w:cs="Agri Serif SC"/>
        </w:rPr>
        <w:t>一、用途与数据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AgriPrice Monitor 用于分析辽宁玉米与尿素历史监测报价。项目把价格整理、重复报价筛查、历史基准比较和预警回放放在同一套材料中，回答两个具体问题：采用不同历史基准，监测结果会发生多大变化；报价长期不更新的县，会怎样影响总体指标和县域差异。项目提供现成结果、完整输入与可执行程序，使用者可以从汇总图表追溯到具体日期和原始网页单元格。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县域报价覆盖2018年1月5日至2026年9月25日，共315个监测日期、9,450条玉米与尿素记录，其中8,987个正值、453个原始零值、10个缺失值。整理表每期包含十五个地区栏位，全期涉及十六个地区标识；核心比较固定为历史端点共同覆盖的十二县。外部参照包含309期全国价格，原始档案包含610份网页响应，其中604份成功、6份为原始HTTP失败记录。更广品种档案登记31个产品、规格与单位组合，合计80,955个去重单元格。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玉米采用混等收购价，尿素按档案中的国产规格匹配。县域报价原单位为元／500克，标准化为元／公斤；交换比表示一公斤玉米报价金额对应的尿素公斤数。分析同时记录产品规格、零值、缺失和来源系统，按有效正值与相邻计划日期计算变化。</w:t>
      </w:r>
    </w:p>
    <w:p>
      <w:pPr>
        <w:pStyle w:val="Heading1"/>
      </w:pPr>
      <w:r>
        <w:rPr>
          <w:rFonts w:ascii="Agri Serif SC" w:hAnsi="Agri Serif SC" w:eastAsia="Agri Serif SC" w:cs="Agri Serif SC"/>
        </w:rPr>
        <w:t>二、关键发现</w:t>
      </w:r>
    </w:p>
    <w:p>
      <w:pPr>
        <w:widowControl/>
      </w:pPr>
      <w:r>
        <w:rPr>
          <w:rFonts w:ascii="Agri Serif SC" w:hAnsi="Agri Serif SC" w:eastAsia="Agri Serif SC" w:cs="Agri Serif SC"/>
          <w:b/>
          <w:i w:val="0"/>
          <w:color w:val="000000"/>
        </w:rPr>
        <w:t>1. 历史基准改变监测分类。</w:t>
      </w:r>
      <w:r>
        <w:rPr>
          <w:rFonts w:ascii="Agri Serif SC" w:hAnsi="Agri Serif SC" w:eastAsia="Agri Serif SC" w:cs="Agri Serif SC"/>
          <w:b w:val="0"/>
          <w:i w:val="0"/>
          <w:color w:val="000000"/>
        </w:rPr>
        <w:t xml:space="preserve"> 在相同的204个完整监测日期上，原始十二县总体达标率从34.31%变化到99.02%。最低值来自2020年基准，最高值来自2018—2019年基准。五种参照分别为2018—2020年、2019—2020年、2020年、2018—2019年，以及2018—2020年同月基准。同一价格路径得到不同分类，说明监测结果需要连同参照时期一起报告。</w:t>
      </w:r>
    </w:p>
    <w:p>
      <w:pPr>
        <w:widowControl/>
      </w:pPr>
      <w:r>
        <w:rPr>
          <w:rFonts w:ascii="Agri Serif SC" w:hAnsi="Agri Serif SC" w:eastAsia="Agri Serif SC" w:cs="Agri Serif SC"/>
          <w:b/>
          <w:i w:val="0"/>
          <w:color w:val="000000"/>
        </w:rPr>
        <w:t>2. 长期重复报价同时进入历史基准和后期指标。</w:t>
      </w:r>
      <w:r>
        <w:rPr>
          <w:rFonts w:ascii="Agri Serif SC" w:hAnsi="Agri Serif SC" w:eastAsia="Agri Serif SC" w:cs="Agri Serif SC"/>
          <w:b w:val="0"/>
          <w:i w:val="0"/>
          <w:color w:val="000000"/>
        </w:rPr>
        <w:t xml:space="preserve"> 组合规则标记十二县中的六县：建平、清原、苏家屯、大石桥、彰武和大洼。规则按低更新率，或超过36次观测的同值段伴随同期全国价格振幅超过20%，分别标记需要核查的县。建平连续109次报告相同尿素价格，跨度1,096个日历日；建平与清原占2018—2020年基准下累计指数缺口的54.64%。六条代表性尿素同值段中，四条位于或跨越历史基准期，揭示了报价持续与基准选择之间的联系。</w:t>
      </w:r>
    </w:p>
    <w:p>
      <w:pPr>
        <w:widowControl/>
      </w:pPr>
      <w:r>
        <w:rPr>
          <w:rFonts w:ascii="Agri Serif SC" w:hAnsi="Agri Serif SC" w:eastAsia="Agri Serif SC" w:cs="Agri Serif SC"/>
          <w:b/>
          <w:i w:val="0"/>
          <w:color w:val="000000"/>
        </w:rPr>
        <w:t>3. 筛查成员和基准共同决定预警结果。</w:t>
      </w:r>
      <w:r>
        <w:rPr>
          <w:rFonts w:ascii="Agri Serif SC" w:hAnsi="Agri Serif SC" w:eastAsia="Agri Serif SC" w:cs="Agri Serif SC"/>
          <w:b w:val="0"/>
          <w:i w:val="0"/>
          <w:color w:val="000000"/>
        </w:rPr>
        <w:t xml:space="preserve"> 原始十二县在五个基准下的配对差异区间均严格为正；剔除建平与清原后，十县仅在2020年基准下严格为正；通过组合筛查的六县，在五个基准下的区间均包含零。六县总体预警从连续第三个完整监测日期低于基准时触发，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324"/>
        <w:gridCol w:w="606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9EEF3"/>
          </w:tcPr>
          <w:p>
            <w:pPr>
              <w:spacing w:after="40" w:line="252" w:lineRule="auto"/>
              <w:jc w:val="left"/>
            </w:pPr>
            <w:r>
              <w:rPr>
                <w:rFonts w:ascii="Agri Serif SC" w:hAnsi="Agri Serif SC" w:eastAsia="Agri Serif SC" w:cs="Agri Serif SC"/>
                <w:b/>
                <w:i w:val="0"/>
                <w:color w:val="000000"/>
                <w:sz w:val="19"/>
              </w:rPr>
              <w:t>历史基准</w:t>
            </w:r>
          </w:p>
        </w:tc>
        <w:tc>
          <w:tcPr>
            <w:tcW w:type="dxa" w:w="23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9EEF3"/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/>
                <w:i w:val="0"/>
                <w:color w:val="000000"/>
                <w:sz w:val="19"/>
              </w:rPr>
              <w:t>预警日期数</w:t>
            </w:r>
          </w:p>
        </w:tc>
        <w:tc>
          <w:tcPr>
            <w:tcW w:type="dxa" w:w="606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9EEF3"/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/>
                <w:i w:val="0"/>
                <w:color w:val="000000"/>
                <w:sz w:val="19"/>
              </w:rPr>
              <w:t>连续事件数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2018—2020年</w:t>
            </w:r>
          </w:p>
        </w:tc>
        <w:tc>
          <w:tcPr>
            <w:tcW w:type="dxa" w:w="23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606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2019—2020年</w:t>
            </w:r>
          </w:p>
        </w:tc>
        <w:tc>
          <w:tcPr>
            <w:tcW w:type="dxa" w:w="23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38</w:t>
            </w:r>
          </w:p>
        </w:tc>
        <w:tc>
          <w:tcPr>
            <w:tcW w:type="dxa" w:w="606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2020年</w:t>
            </w:r>
          </w:p>
        </w:tc>
        <w:tc>
          <w:tcPr>
            <w:tcW w:type="dxa" w:w="23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131</w:t>
            </w:r>
          </w:p>
        </w:tc>
        <w:tc>
          <w:tcPr>
            <w:tcW w:type="dxa" w:w="606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2018—2019年</w:t>
            </w:r>
          </w:p>
        </w:tc>
        <w:tc>
          <w:tcPr>
            <w:tcW w:type="dxa" w:w="23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606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left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2018—2020年同月</w:t>
            </w:r>
          </w:p>
        </w:tc>
        <w:tc>
          <w:tcPr>
            <w:tcW w:type="dxa" w:w="23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606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rFonts w:ascii="Agri Serif SC" w:hAnsi="Agri Serif SC" w:eastAsia="Agri Serif SC" w:cs="Agri Serif SC"/>
                <w:b w:val="0"/>
                <w:i w:val="0"/>
                <w:color w:val="000000"/>
                <w:sz w:val="19"/>
              </w:rPr>
              <w:t>4</w:t>
            </w:r>
          </w:p>
        </w:tc>
      </w:tr>
    </w:tbl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总体预警覆盖0—131个监测日期。统一采用至少一半县低于基准的份额阈值，五个参照仍分别产生34、68、145、5、35个触发日期。日期数描述覆盖长度，事件数描述连续信号的分段，两者应同时列示。</w:t>
      </w:r>
    </w:p>
    <w:p>
      <w:pPr>
        <w:pStyle w:val="Heading1"/>
      </w:pPr>
      <w:r>
        <w:rPr>
          <w:rFonts w:ascii="Agri Serif SC" w:hAnsi="Agri Serif SC" w:eastAsia="Agri Serif SC" w:cs="Agri Serif SC"/>
        </w:rPr>
        <w:t>三、补充检验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本次新增三个检验，并接入统一复现入口。全部十二县分别删除一次，在五个基准下形成60组比较：53组配对区间严格为正，7组包含零。2020年基准在全部删除设定下产生118—134个总体预警日期，2018—2019年基准为0—2个，基准依赖在对称删县后继续成立。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只使用2018—2020年的数据筛查，确认标记五县；七个未确认标记县中包含法库这一未决县，县组固定后再检查两个后期窗口。历史标记五县在两段后期的玉米和尿素更新率均低于另外七县。2024年至2026年9月，尿素更新率分别为6.42%与18.11%，玉米为23.19%与51.40%。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省内同品种检验覆盖20条超过36次观测的同源恒值段；每条段内都有其他县更新，三条段内的其他十一县中位数报价振幅超过20%。新增结果详见补充S11；机器精度CSV和JSON位于results/supplementary_validation。</w:t>
      </w:r>
    </w:p>
    <w:p>
      <w:pPr>
        <w:pStyle w:val="Heading1"/>
      </w:pPr>
      <w:r>
        <w:rPr>
          <w:rFonts w:ascii="Agri Serif SC" w:hAnsi="Agri Serif SC" w:eastAsia="Agri Serif SC" w:cs="Agri Serif SC"/>
        </w:rPr>
        <w:t>四、使用项目与材料清单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完整项目包含统一命令入口、计算程序、报价和原始档案、主比较结果、逐日预警、独立图件、环境清单、论文、补充资料及本简报。先按项目首页完成文件校验，再查看数据说明与结果解读；需要重建时，按快速开始安装固定依赖并运行计算命令。程序输出明细和图件，文档导出生成可编辑文件、PDF及逐页图像。</w:t>
      </w:r>
    </w:p>
    <w:p>
      <w:pPr>
        <w:widowControl/>
      </w:pPr>
      <w:r>
        <w:rPr>
          <w:rFonts w:ascii="Agri Serif SC" w:hAnsi="Agri Serif SC" w:eastAsia="Agri Serif SC" w:cs="Agri Serif SC"/>
          <w:b w:val="0"/>
          <w:i w:val="0"/>
          <w:color w:val="000000"/>
        </w:rPr>
        <w:t>论文和补充资料集中在reports目录，图件位于figures目录，县域与全国输入位于inputs目录，主结果及预警位于results目录。使用任一监测结论时，列明历史基准、县域成员、报价更新历史和预警阈值；这四项信息直接对应项目中的观测记录和触发日期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gri Serif SC" w:hAnsi="Agri Serif SC" w:eastAsia="Agri Serif SC" w:cs="Agri Serif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gri Serif SC" w:hAnsi="Agri Serif SC" w:eastAsia="Agri Serif SC" w:cs="Agri Serif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gri Serif SC" w:hAnsi="Agri Serif SC" w:eastAsia="Agri Serif SC" w:cs="Agri Serif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gri Serif SC" w:hAnsi="Agri Serif SC" w:eastAsia="Agri Serif SC" w:cs="Agri Serif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gri Serif SC" w:hAnsi="Agri Serif SC" w:eastAsia="Agri Serif SC" w:cs="Agri Serif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3" w:lineRule="auto"/>
      <w:outlineLvl w:val="0"/>
    </w:pPr>
    <w:rPr>
      <w:rFonts w:asciiTheme="majorHAnsi" w:eastAsiaTheme="majorEastAsia" w:hAnsiTheme="majorHAnsi" w:cstheme="majorBidi" w:ascii="Agri Serif SC" w:hAnsi="Agri Serif SC" w:eastAsia="Agri Serif SC" w:cs="Agri Serif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Theme="majorHAnsi" w:eastAsiaTheme="majorEastAsia" w:hAnsiTheme="majorHAnsi" w:cstheme="majorBidi" w:ascii="Agri Serif SC" w:hAnsi="Agri Serif SC" w:eastAsia="Agri Serif SC" w:cs="Agri Serif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93" w:lineRule="auto"/>
      <w:outlineLvl w:val="2"/>
    </w:pPr>
    <w:rPr>
      <w:rFonts w:asciiTheme="majorHAnsi" w:eastAsiaTheme="majorEastAsia" w:hAnsiTheme="majorHAnsi" w:cstheme="majorBidi" w:ascii="Agri Serif SC" w:hAnsi="Agri Serif SC" w:eastAsia="Agri Serif SC" w:cs="Agri Serif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gri Serif SC" w:hAnsi="Agri Serif SC" w:eastAsia="Agri Serif SC" w:cs="Agri Serif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gri Serif SC" w:hAnsi="Agri Serif SC" w:eastAsia="Agri Serif SC" w:cs="Agri Serif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gri Serif SC" w:hAnsi="Agri Serif SC" w:eastAsia="Agri Serif SC" w:cs="Agri Serif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gri Serif SC" w:hAnsi="Agri Serif SC" w:eastAsia="Agri Serif SC" w:cs="Agri Serif SC"/>
    </w:rPr>
  </w:style>
  <w:style w:type="table" w:default="1" w:styleId="TableNormal">
    <w:name w:val="Normal Table"/>
    <w:uiPriority w:val="99"/>
    <w:semiHidden/>
    <w:unhideWhenUsed/>
    <w:rPr>
      <w:rFonts w:ascii="Agri Serif SC" w:hAnsi="Agri Serif SC" w:eastAsia="Agri Serif SC" w:cs="Agri Serif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gri Serif SC" w:hAnsi="Agri Serif SC" w:eastAsia="Agri Serif SC" w:cs="Agri Serif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gri Serif SC" w:hAnsi="Agri Serif SC" w:eastAsia="Agri Serif SC" w:cs="Agri Serif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gri Serif SC" w:hAnsi="Agri Serif SC" w:eastAsia="Agri Serif SC" w:cs="Agri Serif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gri Serif SC" w:hAnsi="Agri Serif SC" w:eastAsia="Agri Serif SC" w:cs="Agri Serif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3" w:lineRule="auto"/>
      <w:contextualSpacing/>
    </w:pPr>
    <w:rPr>
      <w:rFonts w:asciiTheme="majorHAnsi" w:eastAsiaTheme="majorEastAsia" w:hAnsiTheme="majorHAnsi" w:cstheme="majorBidi" w:ascii="Agri Serif SC" w:hAnsi="Agri Serif SC" w:eastAsia="Agri Serif SC" w:cs="Agri Serif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gri Serif SC" w:hAnsi="Agri Serif SC" w:eastAsia="Agri Serif SC" w:cs="Agri Serif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gri Serif SC" w:hAnsi="Agri Serif SC" w:eastAsia="Agri Serif SC" w:cs="Agri Serif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gri Serif SC" w:hAnsi="Agri Serif SC" w:eastAsia="Agri Serif SC" w:cs="Agri Serif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gri Serif SC" w:hAnsi="Agri Serif SC" w:eastAsia="Agri Serif SC" w:cs="Agri Serif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gri Serif SC" w:hAnsi="Agri Serif SC" w:eastAsia="Agri Serif SC" w:cs="Agri Serif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gri Serif SC" w:hAnsi="Agri Serif SC" w:eastAsia="Agri Serif SC" w:cs="Agri Serif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gri Serif SC" w:hAnsi="Agri Serif SC" w:eastAsia="Agri Serif SC" w:cs="Agri Serif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gri Serif SC" w:hAnsi="Agri Serif SC" w:eastAsia="Agri Serif SC" w:cs="Agri Serif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gri Serif SC" w:hAnsi="Agri Serif SC" w:eastAsia="Agri Serif SC" w:cs="Agri Serif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gri Serif SC" w:hAnsi="Agri Serif SC" w:eastAsia="Agri Serif SC" w:cs="Agri Serif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gri Serif SC" w:hAnsi="Agri Serif SC" w:eastAsia="Agri Serif SC" w:cs="Agri Serif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gri Serif SC" w:hAnsi="Agri Serif SC" w:eastAsia="Agri Serif SC" w:cs="Agri Serif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gri Serif SC" w:hAnsi="Agri Serif SC" w:eastAsia="Agri Serif SC" w:cs="Agri Serif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gri Serif SC" w:hAnsi="Agri Serif SC" w:eastAsia="Agri Serif SC" w:cs="Agri Serif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gri Serif SC" w:hAnsi="Agri Serif SC" w:eastAsia="Agri Serif SC" w:cs="Agri Serif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gri Serif SC" w:hAnsi="Agri Serif SC" w:eastAsia="Agri Serif SC" w:cs="Agri Serif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gri Serif SC" w:hAnsi="Agri Serif SC" w:eastAsia="Agri Serif SC" w:cs="Agri Serif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gri Serif SC" w:hAnsi="Agri Serif SC" w:eastAsia="Agri Serif SC" w:cs="Agri Serif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gri Serif SC" w:hAnsi="Agri Serif SC" w:eastAsia="Agri Serif SC" w:cs="Agri Serif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gri Serif SC" w:hAnsi="Agri Serif SC" w:eastAsia="Agri Serif SC" w:cs="Agri Serif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gri Serif SC" w:hAnsi="Agri Serif SC" w:eastAsia="Agri Serif SC" w:cs="Agri Serif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gri Serif SC" w:hAnsi="Agri Serif SC" w:eastAsia="Agri Serif SC" w:cs="Agri Serif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gri Serif SC" w:hAnsi="Agri Serif SC" w:eastAsia="Agri Serif SC" w:cs="Agri Serif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gri Serif SC" w:hAnsi="Agri Serif SC" w:eastAsia="Agri Serif SC" w:cs="Agri Serif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gri Serif SC" w:hAnsi="Agri Serif SC" w:eastAsia="Agri Serif SC" w:cs="Agri Serif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gri Serif SC" w:hAnsi="Agri Serif SC" w:eastAsia="Agri Serif SC" w:cs="Agri Serif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gri Serif SC" w:hAnsi="Agri Serif SC" w:eastAsia="Agri Serif SC" w:cs="Agri Serif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gri Serif SC" w:hAnsi="Agri Serif SC" w:eastAsia="Agri Serif SC" w:cs="Agri Serif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20"/>
    </w:pPr>
    <w:rPr>
      <w:rFonts w:ascii="Agri Serif SC" w:hAnsi="Agri Serif SC" w:eastAsia="Agri Serif SC" w:cs="Agri Serif SC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gri Serif SC" w:hAnsi="Agri Serif SC" w:eastAsia="Agri Serif SC" w:cs="Agri Serif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gri Serif SC" w:hAnsi="Agri Serif SC" w:eastAsia="Agri Serif SC" w:cs="Agri Serif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gri Serif SC" w:hAnsi="Agri Serif SC" w:eastAsia="Agri Serif SC" w:cs="Agri Serif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gri Serif SC" w:hAnsi="Agri Serif SC" w:eastAsia="Agri Serif SC" w:cs="Agri Serif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gri Serif SC" w:hAnsi="Agri Serif SC" w:eastAsia="Agri Serif SC" w:cs="Agri Serif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gri Serif SC" w:hAnsi="Agri Serif SC" w:eastAsia="Agri Serif SC" w:cs="Agri Serif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gri Serif SC" w:hAnsi="Agri Serif SC" w:eastAsia="Agri Serif SC" w:cs="Agri Serif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gri Serif SC" w:hAnsi="Agri Serif SC" w:eastAsia="Agri Serif SC" w:cs="Agri Serif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gri Serif SC" w:hAnsi="Agri Serif SC" w:eastAsia="Agri Serif SC" w:cs="Agri Serif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gri Serif SC" w:hAnsi="Agri Serif SC" w:eastAsia="Agri Serif SC" w:cs="Agri Serif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gri Serif SC" w:hAnsi="Agri Serif SC" w:eastAsia="Agri Serif SC" w:cs="Agri Serif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gri Serif SC" w:hAnsi="Agri Serif SC" w:eastAsia="Agri Serif SC" w:cs="Agri Serif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gri Serif SC" w:hAnsi="Agri Serif SC" w:eastAsia="Agri Serif SC" w:cs="Agri Serif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gri Serif SC" w:hAnsi="Agri Serif SC" w:eastAsia="Agri Serif SC" w:cs="Agri Serif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gri Serif SC" w:hAnsi="Agri Serif SC" w:eastAsia="Agri Serif SC" w:cs="Agri Serif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category/>
</cp:coreProperties>
</file>