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3DD2541F"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Stephanie D Byrum</w:t>
      </w:r>
      <w:r w:rsidR="00207ECD" w:rsidRPr="00111D9F">
        <w:rPr>
          <w:vertAlign w:val="superscript"/>
        </w:rPr>
        <w:t>1,2</w:t>
      </w:r>
      <w:r w:rsidR="00207ECD">
        <w:rPr>
          <w:vertAlign w:val="superscript"/>
        </w:rPr>
        <w:t>,</w:t>
      </w:r>
      <w:r>
        <w:t>*</w:t>
      </w:r>
      <w:bookmarkStart w:id="0" w:name="_GoBack"/>
      <w:bookmarkEnd w:id="0"/>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5B178C26"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843D4C">
        <w:t xml:space="preserve"> (breast cancer?) cell lines was </w:t>
      </w:r>
      <w:r w:rsidR="002630B7">
        <w:t>profiled</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2"/>
      <w:r w:rsidR="007E3B61">
        <w:t>affected by systemic bias</w:t>
      </w:r>
      <w:commentRangeEnd w:id="2"/>
      <w:r w:rsidR="00892C58">
        <w:rPr>
          <w:rStyle w:val="CommentReference"/>
        </w:rPr>
        <w:commentReference w:id="2"/>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3"/>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3"/>
      <w:r w:rsidR="00334AED">
        <w:rPr>
          <w:rStyle w:val="CommentReference"/>
        </w:rPr>
        <w:commentReference w:id="3"/>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4"/>
      <w:r w:rsidR="004554FB">
        <w:t>adopted from DNA microarray technology</w:t>
      </w:r>
      <w:commentRangeEnd w:id="4"/>
      <w:r w:rsidR="004554FB">
        <w:rPr>
          <w:rStyle w:val="CommentReference"/>
        </w:rPr>
        <w:commentReference w:id="4"/>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5"/>
      <w:r w:rsidR="00893B07">
        <w:t>normalization methods like VSN, linear regression normalization and local regression normalization, that consistently rank amount the top performing methods</w:t>
      </w:r>
      <w:commentRangeEnd w:id="5"/>
      <w:r w:rsidR="00E27038">
        <w:rPr>
          <w:rStyle w:val="CommentReference"/>
        </w:rPr>
        <w:commentReference w:id="5"/>
      </w:r>
      <w:r w:rsidR="00893B07">
        <w:t xml:space="preserve">, it is curial to select </w:t>
      </w:r>
      <w:r w:rsidR="00E27038">
        <w:t>a</w:t>
      </w:r>
      <w:r w:rsidR="00893B07">
        <w:t xml:space="preserve"> suitable</w:t>
      </w:r>
      <w:commentRangeStart w:id="6"/>
      <w:r w:rsidR="00893B07">
        <w:t xml:space="preserve"> normalization method depending on the data set</w:t>
      </w:r>
      <w:commentRangeEnd w:id="6"/>
      <w:r w:rsidR="00893B07">
        <w:rPr>
          <w:rStyle w:val="CommentReference"/>
        </w:rPr>
        <w:commentReference w:id="6"/>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7"/>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7"/>
      <w:r w:rsidR="00FE3DB4">
        <w:rPr>
          <w:rStyle w:val="CommentReference"/>
        </w:rPr>
        <w:commentReference w:id="7"/>
      </w:r>
      <w:commentRangeStart w:id="8"/>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9"/>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8"/>
      <w:r w:rsidR="00311A3B">
        <w:rPr>
          <w:rStyle w:val="CommentReference"/>
        </w:rPr>
        <w:commentReference w:id="8"/>
      </w:r>
      <w:commentRangeEnd w:id="9"/>
      <w:r w:rsidR="00311A3B">
        <w:rPr>
          <w:rStyle w:val="CommentReference"/>
        </w:rPr>
        <w:commentReference w:id="9"/>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11313309" w:rsidR="00A11C15" w:rsidRDefault="00B324D0" w:rsidP="00B7306A">
      <w:pPr>
        <w:pStyle w:val="TAMainText"/>
        <w:spacing w:after="240"/>
        <w:ind w:firstLine="0"/>
        <w:jc w:val="left"/>
      </w:pPr>
      <w:commentRangeStart w:id="11"/>
      <w:r>
        <w:t>Filter function</w:t>
      </w:r>
      <w:commentRangeEnd w:id="11"/>
      <w:r>
        <w:rPr>
          <w:rStyle w:val="CommentReference"/>
        </w:rPr>
        <w:commentReference w:id="11"/>
      </w:r>
    </w:p>
    <w:p w14:paraId="22AB27A1" w14:textId="23194EE5" w:rsidR="00A11C15" w:rsidRDefault="00A11C15" w:rsidP="00A11C15">
      <w:pPr>
        <w:pStyle w:val="TAMainText"/>
        <w:numPr>
          <w:ilvl w:val="1"/>
          <w:numId w:val="12"/>
        </w:numPr>
        <w:spacing w:after="240"/>
        <w:jc w:val="left"/>
        <w:rPr>
          <w:b/>
        </w:rPr>
      </w:pPr>
      <w:commentRangeStart w:id="12"/>
      <w:r w:rsidRPr="00987683">
        <w:rPr>
          <w:b/>
        </w:rPr>
        <w:t>Normalization Methods</w:t>
      </w:r>
      <w:commentRangeEnd w:id="12"/>
      <w:r w:rsidR="00AA501A">
        <w:rPr>
          <w:rStyle w:val="CommentReference"/>
        </w:rPr>
        <w:commentReference w:id="12"/>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w:t>
      </w:r>
      <w:commentRangeStart w:id="13"/>
      <w:r>
        <w:t>distributions</w:t>
      </w:r>
      <w:commentRangeEnd w:id="13"/>
      <w:r w:rsidR="00AA501A">
        <w:rPr>
          <w:rStyle w:val="CommentReference"/>
        </w:rPr>
        <w:commentReference w:id="13"/>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4"/>
      <w:r w:rsidR="00A11C15">
        <w:t>DAtest</w:t>
      </w:r>
      <w:commentRangeEnd w:id="14"/>
      <w:r>
        <w:rPr>
          <w:rStyle w:val="CommentReference"/>
        </w:rPr>
        <w:commentReference w:id="14"/>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5"/>
      <w:r w:rsidR="00A11C15">
        <w:t>imputation methods</w:t>
      </w:r>
      <w:commentRangeEnd w:id="15"/>
      <w:r w:rsidR="00534D38">
        <w:rPr>
          <w:rStyle w:val="CommentReference"/>
        </w:rPr>
        <w:commentReference w:id="15"/>
      </w:r>
      <w:r w:rsidR="00A11C15">
        <w:t xml:space="preserve">: </w:t>
      </w:r>
      <w:r w:rsidR="00A11C15" w:rsidRPr="00A11C15">
        <w:t>k-nearest neighbors (</w:t>
      </w:r>
      <w:commentRangeStart w:id="16"/>
      <w:r w:rsidR="00A11C15" w:rsidRPr="00A11C15">
        <w:t>KNN</w:t>
      </w:r>
      <w:commentRangeEnd w:id="16"/>
      <w:r w:rsidR="008A5A37">
        <w:rPr>
          <w:rStyle w:val="CommentReference"/>
        </w:rPr>
        <w:commentReference w:id="16"/>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7"/>
      <w:r w:rsidR="00A11C15" w:rsidRPr="00A11C15">
        <w:t>QRILC</w:t>
      </w:r>
      <w:commentRangeEnd w:id="17"/>
      <w:r w:rsidR="008A5A37">
        <w:rPr>
          <w:rStyle w:val="CommentReference"/>
        </w:rPr>
        <w:commentReference w:id="17"/>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8"/>
      <w:proofErr w:type="spellStart"/>
      <w:r w:rsidR="00A11C15">
        <w:t>MinDet</w:t>
      </w:r>
      <w:commentRangeEnd w:id="18"/>
      <w:proofErr w:type="spellEnd"/>
      <w:r w:rsidR="008A5A37">
        <w:rPr>
          <w:rStyle w:val="CommentReference"/>
        </w:rPr>
        <w:commentReference w:id="18"/>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9"/>
      <w:proofErr w:type="spellStart"/>
      <w:r w:rsidR="00A11C15">
        <w:t>MinProb</w:t>
      </w:r>
      <w:commentRangeEnd w:id="19"/>
      <w:proofErr w:type="spellEnd"/>
      <w:r w:rsidR="008A5A37">
        <w:rPr>
          <w:rStyle w:val="CommentReference"/>
        </w:rPr>
        <w:commentReference w:id="19"/>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20"/>
      <w:r>
        <w:t>on</w:t>
      </w:r>
      <w:r w:rsidR="00534D38">
        <w:t xml:space="preserve"> natural intensity</w:t>
      </w:r>
      <w:r>
        <w:t xml:space="preserve"> scale</w:t>
      </w:r>
      <w:commentRangeEnd w:id="20"/>
      <w:r w:rsidR="00534D38">
        <w:rPr>
          <w:rStyle w:val="CommentReference"/>
        </w:rPr>
        <w:commentReference w:id="2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2"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3"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4"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5"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6"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7"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8"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9"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20-01-17T14:55:00Z" w:initials="GSH">
    <w:p w14:paraId="447E42BD" w14:textId="4EFEE529" w:rsidR="00B324D0" w:rsidRDefault="00B324D0">
      <w:pPr>
        <w:pStyle w:val="CommentText"/>
      </w:pPr>
      <w:r>
        <w:rPr>
          <w:rStyle w:val="CommentReference"/>
        </w:rPr>
        <w:annotationRef/>
      </w:r>
      <w:r>
        <w:t>Workflow of proteiNorm</w:t>
      </w:r>
    </w:p>
  </w:comment>
  <w:comment w:id="12" w:author="Graw, Stefan H" w:date="2020-01-17T14:52:00Z" w:initials="GSH">
    <w:p w14:paraId="225C38A9" w14:textId="01C257DE" w:rsidR="00AA501A" w:rsidRDefault="00AA501A">
      <w:pPr>
        <w:pStyle w:val="CommentText"/>
      </w:pPr>
      <w:r>
        <w:rPr>
          <w:rStyle w:val="CommentReference"/>
        </w:rPr>
        <w:annotationRef/>
      </w:r>
      <w:r>
        <w:t xml:space="preserve">Multi panel figure with all normalization metrics  </w:t>
      </w:r>
    </w:p>
  </w:comment>
  <w:comment w:id="13" w:author="Graw, Stefan H" w:date="2020-01-17T14:52:00Z" w:initials="GSH">
    <w:p w14:paraId="5E9A4E0B" w14:textId="6E080109" w:rsidR="00AA501A" w:rsidRDefault="00AA501A">
      <w:pPr>
        <w:pStyle w:val="CommentText"/>
      </w:pPr>
      <w:r>
        <w:rPr>
          <w:rStyle w:val="CommentReference"/>
        </w:rPr>
        <w:annotationRef/>
      </w:r>
      <w:r>
        <w:t>Added PCA</w:t>
      </w:r>
    </w:p>
  </w:comment>
  <w:comment w:id="14"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5"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6"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7"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8"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9"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2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447E42BD" w15:done="0"/>
  <w15:commentEx w15:paraId="225C38A9" w15:done="0"/>
  <w15:commentEx w15:paraId="5E9A4E0B"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EFF4E" w14:textId="77777777" w:rsidR="00A51BD2" w:rsidRDefault="00A51BD2">
      <w:r>
        <w:separator/>
      </w:r>
    </w:p>
  </w:endnote>
  <w:endnote w:type="continuationSeparator" w:id="0">
    <w:p w14:paraId="4FECE4B6" w14:textId="77777777" w:rsidR="00A51BD2" w:rsidRDefault="00A5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58E5D9E5"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7ECD">
      <w:rPr>
        <w:rStyle w:val="PageNumber"/>
        <w:noProof/>
      </w:rPr>
      <w:t>9</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A82A3" w14:textId="77777777" w:rsidR="00A51BD2" w:rsidRDefault="00A51BD2">
      <w:r>
        <w:separator/>
      </w:r>
    </w:p>
  </w:footnote>
  <w:footnote w:type="continuationSeparator" w:id="0">
    <w:p w14:paraId="34395C1F" w14:textId="77777777" w:rsidR="00A51BD2" w:rsidRDefault="00A51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21CB5"/>
    <w:rsid w:val="00155231"/>
    <w:rsid w:val="00162828"/>
    <w:rsid w:val="00164635"/>
    <w:rsid w:val="00195ACA"/>
    <w:rsid w:val="001A7A90"/>
    <w:rsid w:val="001B1113"/>
    <w:rsid w:val="001F6A08"/>
    <w:rsid w:val="00207ECD"/>
    <w:rsid w:val="00212B1D"/>
    <w:rsid w:val="00240BAD"/>
    <w:rsid w:val="002630B7"/>
    <w:rsid w:val="0026438B"/>
    <w:rsid w:val="00266549"/>
    <w:rsid w:val="00271A02"/>
    <w:rsid w:val="002A7493"/>
    <w:rsid w:val="002C3431"/>
    <w:rsid w:val="002C6F82"/>
    <w:rsid w:val="00311A3B"/>
    <w:rsid w:val="0031373B"/>
    <w:rsid w:val="00324128"/>
    <w:rsid w:val="00334AED"/>
    <w:rsid w:val="00360B3D"/>
    <w:rsid w:val="00361E35"/>
    <w:rsid w:val="003664E9"/>
    <w:rsid w:val="003679A1"/>
    <w:rsid w:val="003A42F0"/>
    <w:rsid w:val="003B4AF3"/>
    <w:rsid w:val="003B4DF6"/>
    <w:rsid w:val="003E1F76"/>
    <w:rsid w:val="0040540C"/>
    <w:rsid w:val="00405542"/>
    <w:rsid w:val="004554FB"/>
    <w:rsid w:val="00472691"/>
    <w:rsid w:val="00475FD2"/>
    <w:rsid w:val="004817F6"/>
    <w:rsid w:val="00486034"/>
    <w:rsid w:val="004B0E36"/>
    <w:rsid w:val="004C3E30"/>
    <w:rsid w:val="004E283C"/>
    <w:rsid w:val="004E7185"/>
    <w:rsid w:val="00501AC9"/>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83131"/>
    <w:rsid w:val="006A053E"/>
    <w:rsid w:val="006A3E34"/>
    <w:rsid w:val="006B2581"/>
    <w:rsid w:val="006C522D"/>
    <w:rsid w:val="007000D9"/>
    <w:rsid w:val="007062A4"/>
    <w:rsid w:val="00747701"/>
    <w:rsid w:val="007534B9"/>
    <w:rsid w:val="007629D3"/>
    <w:rsid w:val="0078533C"/>
    <w:rsid w:val="00794616"/>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51BD2"/>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C0548"/>
    <w:rsid w:val="00BC0C6A"/>
    <w:rsid w:val="00BD2C44"/>
    <w:rsid w:val="00BE2B48"/>
    <w:rsid w:val="00C03C1E"/>
    <w:rsid w:val="00C10EE0"/>
    <w:rsid w:val="00C12556"/>
    <w:rsid w:val="00C6170A"/>
    <w:rsid w:val="00CD7653"/>
    <w:rsid w:val="00CE7B50"/>
    <w:rsid w:val="00D22B0F"/>
    <w:rsid w:val="00D318E5"/>
    <w:rsid w:val="00D32E24"/>
    <w:rsid w:val="00D364A1"/>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13</TotalTime>
  <Pages>9</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31110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2020-01-22T18:32:00Z</dcterms:created>
  <dcterms:modified xsi:type="dcterms:W3CDTF">2020-01-22T19:51:00Z</dcterms:modified>
</cp:coreProperties>
</file>