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bookmarkStart w:id="0" w:name="_GoBack"/>
      <w:bookmarkEnd w:id="0"/>
      <w:r>
        <w:t>proteiNorm – A user-friendly tool for normalization and analysis of TMT and label-free p</w:t>
      </w:r>
      <w:r w:rsidRPr="000B6C7E">
        <w:t xml:space="preserve">rotein </w:t>
      </w:r>
      <w:r>
        <w:t>q</w:t>
      </w:r>
      <w:r w:rsidRPr="000B6C7E">
        <w:t xml:space="preserve">uantification </w:t>
      </w:r>
    </w:p>
    <w:p w14:paraId="34F064EB" w14:textId="3DD2541F"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 xml:space="preserve">ABSTRACT (Word Style “BD_Abstract”). </w:t>
      </w:r>
    </w:p>
    <w:p w14:paraId="19D9A955" w14:textId="38DD3008"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61AB5A3A" w:rsidR="00843D4C" w:rsidRDefault="00DD67A1" w:rsidP="00162828">
      <w:pPr>
        <w:pStyle w:val="BDAbstract"/>
      </w:pPr>
      <w:r w:rsidRPr="005E1FBC">
        <w:t>The current implementation of proteiNorm accommodates</w:t>
      </w:r>
      <w:r w:rsidR="005E1FBC" w:rsidRPr="005E1FBC">
        <w:t xml:space="preserve"> </w:t>
      </w:r>
      <w:r w:rsidR="00472691">
        <w:t xml:space="preserve">some 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identifi</w:t>
      </w:r>
      <w:r w:rsidR="00472691">
        <w:t xml:space="preserve">cation of missing value pattern.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1"/>
      <w:r>
        <w:t>mass spectrometer,</w:t>
      </w:r>
      <w:commentRangeEnd w:id="1"/>
      <w:r>
        <w:rPr>
          <w:rStyle w:val="CommentReference"/>
        </w:rPr>
        <w:commentReference w:id="1"/>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affected by systemic bias,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normalization methods like VSN, linear regression normalization and local regression normalization, that consistently rank amount the top performing methods,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respectivly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2"/>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2"/>
      <w:r w:rsidR="00311A3B">
        <w:rPr>
          <w:rStyle w:val="CommentReference"/>
        </w:rPr>
        <w:commentReference w:id="2"/>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2113DF31"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695280">
        <w:t xml:space="preserve">An overview of the workflow </w:t>
      </w:r>
      <w:r w:rsidR="004B224D">
        <w:t xml:space="preserve">is illustrated in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4B224D">
        <w:t xml:space="preserve"> and involves the following steps: Uploading peptide-level data, filtering outlier peptides to create new filtered protein-level data (optional), upload protein-level data (original or filtered), provide meta data (e.g. batch and treatment groups), normalize the data with different normalization methods and evaluate their performance, select normalization methods, select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3"/>
      <w:r w:rsidR="00D73446">
        <w:t>[insert DAtest reference]</w:t>
      </w:r>
      <w:commentRangeEnd w:id="3"/>
      <w:r w:rsidR="00D73446">
        <w:rPr>
          <w:rStyle w:val="CommentReference"/>
        </w:rPr>
        <w:commentReference w:id="3"/>
      </w:r>
    </w:p>
    <w:p w14:paraId="79A2BCD1" w14:textId="77777777" w:rsidR="004B224D" w:rsidRDefault="00D721E2"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6pt;height:481.45pt">
            <v:imagedata r:id="rId12" o:title="workflow"/>
          </v:shape>
        </w:pict>
      </w:r>
    </w:p>
    <w:p w14:paraId="7438FC0B" w14:textId="05CC11A8" w:rsidR="00342944" w:rsidRDefault="004B224D" w:rsidP="004B224D">
      <w:pPr>
        <w:pStyle w:val="Caption"/>
        <w:jc w:val="center"/>
      </w:pPr>
      <w:bookmarkStart w:id="4" w:name="_Ref31633137"/>
      <w:bookmarkStart w:id="5" w:name="_Ref31633114"/>
      <w:r>
        <w:t xml:space="preserve">Figure </w:t>
      </w:r>
      <w:r w:rsidR="0031076B">
        <w:fldChar w:fldCharType="begin"/>
      </w:r>
      <w:r w:rsidR="0031076B">
        <w:instrText xml:space="preserve"> SEQ Figure \* ARABIC </w:instrText>
      </w:r>
      <w:r w:rsidR="0031076B">
        <w:fldChar w:fldCharType="separate"/>
      </w:r>
      <w:r w:rsidR="00CC11D5">
        <w:rPr>
          <w:noProof/>
        </w:rPr>
        <w:t>1</w:t>
      </w:r>
      <w:r w:rsidR="0031076B">
        <w:rPr>
          <w:noProof/>
        </w:rPr>
        <w:fldChar w:fldCharType="end"/>
      </w:r>
      <w:bookmarkEnd w:id="4"/>
      <w:r>
        <w:rPr>
          <w:noProof/>
        </w:rPr>
        <w:t xml:space="preserve"> Workflow</w:t>
      </w:r>
      <w:bookmarkEnd w:id="5"/>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3FF9A468"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6"/>
      <w:r w:rsidR="00D07045" w:rsidRPr="00D07045">
        <w:t>MaxQuant</w:t>
      </w:r>
      <w:commentRangeEnd w:id="6"/>
      <w:r w:rsidR="00FD476E">
        <w:rPr>
          <w:rStyle w:val="CommentReference"/>
        </w:rPr>
        <w:commentReference w:id="6"/>
      </w:r>
      <w:r w:rsidR="005D2E75">
        <w:t xml:space="preserve">, where the column names of the measured intensities start with “Reporter intensity corrected” followed by an integer and an optional label </w:t>
      </w:r>
      <w:r w:rsidR="005D2E75">
        <w:lastRenderedPageBreak/>
        <w:t>(e.g.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7BB9A1CC"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7"/>
      <w:r>
        <w:t>distributions</w:t>
      </w:r>
      <w:r w:rsidR="00CC11D5">
        <w:t xml:space="preserve"> </w:t>
      </w:r>
      <w:commentRangeEnd w:id="7"/>
      <w:r w:rsidR="00CC11D5">
        <w:rPr>
          <w:rStyle w:val="CommentReference"/>
        </w:rPr>
        <w:commentReference w:id="7"/>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0062776" w14:textId="77777777" w:rsidR="00CC11D5" w:rsidRDefault="00D721E2" w:rsidP="00CC11D5">
      <w:pPr>
        <w:pStyle w:val="TAMainText"/>
        <w:keepNext/>
        <w:spacing w:after="240"/>
        <w:ind w:firstLine="0"/>
        <w:jc w:val="left"/>
      </w:pPr>
      <w:r>
        <w:lastRenderedPageBreak/>
        <w:pict w14:anchorId="63F3E0A5">
          <v:shape id="_x0000_i1026" type="#_x0000_t75" style="width:467.05pt;height:599.8pt">
            <v:imagedata r:id="rId13" o:title="figure"/>
          </v:shape>
        </w:pict>
      </w:r>
    </w:p>
    <w:p w14:paraId="30FC38B5" w14:textId="2D36247D" w:rsidR="00D73446" w:rsidRDefault="00CC11D5" w:rsidP="00CC11D5">
      <w:pPr>
        <w:pStyle w:val="Caption"/>
        <w:jc w:val="left"/>
      </w:pPr>
      <w:bookmarkStart w:id="8" w:name="_Ref31636611"/>
      <w:r>
        <w:t xml:space="preserve">Figure </w:t>
      </w:r>
      <w:r w:rsidR="0031076B">
        <w:fldChar w:fldCharType="begin"/>
      </w:r>
      <w:r w:rsidR="0031076B">
        <w:instrText xml:space="preserve"> SEQ Figure \* ARABIC </w:instrText>
      </w:r>
      <w:r w:rsidR="0031076B">
        <w:fldChar w:fldCharType="separate"/>
      </w:r>
      <w:r>
        <w:rPr>
          <w:noProof/>
        </w:rPr>
        <w:t>2</w:t>
      </w:r>
      <w:r w:rsidR="0031076B">
        <w:rPr>
          <w:noProof/>
        </w:rPr>
        <w:fldChar w:fldCharType="end"/>
      </w:r>
      <w:bookmarkEnd w:id="8"/>
      <w:r>
        <w:t xml:space="preserve"> Metrics</w:t>
      </w:r>
    </w:p>
    <w:p w14:paraId="0ECF3999" w14:textId="52B1734C" w:rsidR="00A11C15" w:rsidRDefault="005665C4" w:rsidP="00A11C15">
      <w:pPr>
        <w:pStyle w:val="TAMainText"/>
        <w:numPr>
          <w:ilvl w:val="1"/>
          <w:numId w:val="12"/>
        </w:numPr>
        <w:spacing w:after="240"/>
        <w:jc w:val="left"/>
        <w:rPr>
          <w:b/>
        </w:rPr>
      </w:pPr>
      <w:r w:rsidRPr="00987683">
        <w:rPr>
          <w:b/>
        </w:rPr>
        <w:lastRenderedPageBreak/>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9"/>
      <w:r w:rsidR="00A11C15">
        <w:t>imputation methods</w:t>
      </w:r>
      <w:commentRangeEnd w:id="9"/>
      <w:r w:rsidR="00534D38">
        <w:rPr>
          <w:rStyle w:val="CommentReference"/>
        </w:rPr>
        <w:commentReference w:id="9"/>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0"/>
      <w:r>
        <w:t>on</w:t>
      </w:r>
      <w:r w:rsidR="00534D38">
        <w:t xml:space="preserve"> natural intensity</w:t>
      </w:r>
      <w:r>
        <w:t xml:space="preserve"> scale</w:t>
      </w:r>
      <w:commentRangeEnd w:id="10"/>
      <w:r w:rsidR="00534D38">
        <w:rPr>
          <w:rStyle w:val="CommentReference"/>
        </w:rPr>
        <w:commentReference w:id="1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w:t>
      </w:r>
      <w:r w:rsidR="00D364A1">
        <w:lastRenderedPageBreak/>
        <w:t xml:space="preserve">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A4CA284" w14:textId="3B4CC2C1" w:rsidR="00242C64" w:rsidRDefault="00242C64" w:rsidP="00242C64">
      <w:pPr>
        <w:pStyle w:val="TAMainText"/>
        <w:numPr>
          <w:ilvl w:val="1"/>
          <w:numId w:val="12"/>
        </w:numPr>
        <w:spacing w:after="240"/>
        <w:jc w:val="left"/>
        <w:rPr>
          <w:b/>
        </w:rPr>
      </w:pPr>
      <w:r>
        <w:rPr>
          <w:b/>
        </w:rPr>
        <w:t>Data</w:t>
      </w:r>
    </w:p>
    <w:p w14:paraId="7CA1166E" w14:textId="0E5555A8" w:rsidR="00A11C15" w:rsidRPr="00987683" w:rsidRDefault="00D520FE" w:rsidP="00A11C15">
      <w:pPr>
        <w:pStyle w:val="TAMainText"/>
        <w:spacing w:after="240"/>
        <w:ind w:firstLine="0"/>
        <w:jc w:val="left"/>
        <w:rPr>
          <w:b/>
        </w:rPr>
      </w:pPr>
      <w:r>
        <w:t xml:space="preserve">3 cell lines (untreated, treated), 2 batches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79DA3892" w14:textId="16C89B8B" w:rsidR="0050511E" w:rsidRDefault="0050511E" w:rsidP="00D520FE">
      <w:pPr>
        <w:pStyle w:val="TAMainText"/>
        <w:spacing w:after="240"/>
        <w:ind w:firstLine="0"/>
        <w:jc w:val="left"/>
      </w:pPr>
      <w:r>
        <w:t xml:space="preserve">To demonstrate the </w:t>
      </w:r>
      <w:r w:rsidR="00675661">
        <w:t xml:space="preserve">application of proteiNorm and interpretation of the results, the following section describes the analysis of the proteome of three breast cancer cell lines (each treated and untreated with </w:t>
      </w:r>
      <w:r w:rsidR="00795747" w:rsidRPr="00795747">
        <w:t>Hydroxyurea</w:t>
      </w:r>
      <w:r w:rsidR="00675661">
        <w:t xml:space="preserve">) from two </w:t>
      </w:r>
      <w:r w:rsidR="00675661" w:rsidRPr="00843D4C">
        <w:t>Tandem Mass Tag</w:t>
      </w:r>
      <w:r w:rsidR="00675661">
        <w:t xml:space="preserve"> (TMT)</w:t>
      </w:r>
      <w:r w:rsidR="00675661" w:rsidRPr="00843D4C">
        <w:t xml:space="preserve"> </w:t>
      </w:r>
      <w:r w:rsidR="00675661">
        <w:t>m</w:t>
      </w:r>
      <w:r w:rsidR="00675661" w:rsidRPr="00843D4C">
        <w:t xml:space="preserve">ass </w:t>
      </w:r>
      <w:r w:rsidR="00675661">
        <w:t>s</w:t>
      </w:r>
      <w:r w:rsidR="00675661" w:rsidRPr="00843D4C">
        <w:t>pectrometry</w:t>
      </w:r>
      <w:r w:rsidR="00675661">
        <w:t xml:space="preserve"> batches. </w:t>
      </w:r>
    </w:p>
    <w:p w14:paraId="5C4825DF" w14:textId="061F7207" w:rsidR="00675661" w:rsidRDefault="00675661" w:rsidP="00675661">
      <w:pPr>
        <w:pStyle w:val="TAMainText"/>
        <w:spacing w:after="240"/>
        <w:ind w:firstLine="0"/>
        <w:jc w:val="left"/>
        <w:rPr>
          <w:b/>
        </w:rPr>
      </w:pPr>
    </w:p>
    <w:p w14:paraId="7F662751" w14:textId="77777777" w:rsidR="00675661" w:rsidRPr="00675661" w:rsidRDefault="00675661"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 xml:space="preserve">*(Word Style “FA_Corresponding_Author_Footnote”). </w:t>
      </w:r>
      <w:r w:rsidRPr="003E5207">
        <w:t>* (Word Style “FA_Corresponding_Author_Footnote”).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lastRenderedPageBreak/>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2"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3" w:author="Graw, Stefan H" w:date="2020-02-03T14:49:00Z" w:initials="GSH">
    <w:p w14:paraId="0CF744F0" w14:textId="1FCDFA5E" w:rsidR="00D73446" w:rsidRDefault="00D73446">
      <w:pPr>
        <w:pStyle w:val="CommentText"/>
      </w:pPr>
      <w:r>
        <w:rPr>
          <w:rStyle w:val="CommentReference"/>
        </w:rPr>
        <w:annotationRef/>
      </w:r>
      <w:r>
        <w:t>insert DAtest reference</w:t>
      </w:r>
    </w:p>
  </w:comment>
  <w:comment w:id="6" w:author="Graw, Stefan H" w:date="2020-02-03T14:09:00Z" w:initials="GSH">
    <w:p w14:paraId="645CE354" w14:textId="5126E5A1" w:rsidR="00FD476E" w:rsidRDefault="00FD476E">
      <w:pPr>
        <w:pStyle w:val="CommentText"/>
        <w:rPr>
          <w:rFonts w:ascii="Segoe UI" w:hAnsi="Segoe UI" w:cs="Segoe UI"/>
          <w:color w:val="222222"/>
          <w:shd w:val="clear" w:color="auto" w:fill="FFFFFF"/>
        </w:rPr>
      </w:pPr>
      <w:r>
        <w:rPr>
          <w:rStyle w:val="CommentReference"/>
        </w:rPr>
        <w:annotationRef/>
      </w:r>
      <w:r>
        <w:rPr>
          <w:rFonts w:ascii="Segoe UI" w:hAnsi="Segoe UI" w:cs="Segoe UI"/>
          <w:color w:val="222222"/>
          <w:shd w:val="clear" w:color="auto" w:fill="FFFFFF"/>
        </w:rPr>
        <w:t>Tyanova, S., Temu, T. &amp; Cox, J. The MaxQuant computational platform for mass spectrometry-based shotgun proteomics. </w:t>
      </w:r>
      <w:r>
        <w:rPr>
          <w:rFonts w:ascii="Segoe UI" w:hAnsi="Segoe UI" w:cs="Segoe UI"/>
          <w:i/>
          <w:iCs/>
          <w:color w:val="222222"/>
          <w:shd w:val="clear" w:color="auto" w:fill="FFFFFF"/>
        </w:rPr>
        <w:t>Nat Protoc</w:t>
      </w:r>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1" w:history="1">
        <w:r w:rsidRPr="00D5203A">
          <w:rPr>
            <w:rStyle w:val="Hyperlink"/>
            <w:rFonts w:ascii="Segoe UI" w:hAnsi="Segoe UI" w:cs="Segoe UI"/>
            <w:shd w:val="clear" w:color="auto" w:fill="FFFFFF"/>
          </w:rPr>
          <w:t>https://doi.org/10.1038/nprot.2016.136</w:t>
        </w:r>
      </w:hyperlink>
    </w:p>
    <w:p w14:paraId="48BFC6F3" w14:textId="460DC901" w:rsidR="00FD476E" w:rsidRDefault="00FD476E">
      <w:pPr>
        <w:pStyle w:val="CommentText"/>
        <w:rPr>
          <w:rFonts w:ascii="Segoe UI" w:hAnsi="Segoe UI" w:cs="Segoe UI"/>
          <w:color w:val="222222"/>
          <w:shd w:val="clear" w:color="auto" w:fill="FFFFFF"/>
        </w:rPr>
      </w:pPr>
    </w:p>
    <w:p w14:paraId="19E50B6D" w14:textId="4814DE7A" w:rsidR="00FD476E" w:rsidRDefault="0031076B">
      <w:pPr>
        <w:pStyle w:val="CommentText"/>
      </w:pPr>
      <w:hyperlink r:id="rId2" w:anchor="citeas" w:history="1">
        <w:r w:rsidR="00FD476E">
          <w:rPr>
            <w:rStyle w:val="Hyperlink"/>
          </w:rPr>
          <w:t>https://www.nature.com/articles/nprot.2016.136#citeas</w:t>
        </w:r>
      </w:hyperlink>
    </w:p>
  </w:comment>
  <w:comment w:id="7" w:author="Graw, Stefan H" w:date="2020-02-03T15:40:00Z" w:initials="GSH">
    <w:p w14:paraId="58E574D4" w14:textId="1CBF9034" w:rsidR="00CC11D5" w:rsidRDefault="00CC11D5">
      <w:pPr>
        <w:pStyle w:val="CommentText"/>
      </w:pPr>
      <w:r>
        <w:rPr>
          <w:rStyle w:val="CommentReference"/>
        </w:rPr>
        <w:annotationRef/>
      </w:r>
      <w:r>
        <w:t>Need to reference/describe NA heatmap</w:t>
      </w:r>
    </w:p>
  </w:comment>
  <w:comment w:id="9"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0CF744F0" w15:done="0"/>
  <w15:commentEx w15:paraId="19E50B6D" w15:done="0"/>
  <w15:commentEx w15:paraId="58E574D4" w15:done="0"/>
  <w15:commentEx w15:paraId="75071C1B"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B60FF" w14:textId="77777777" w:rsidR="0031076B" w:rsidRDefault="0031076B">
      <w:r>
        <w:separator/>
      </w:r>
    </w:p>
  </w:endnote>
  <w:endnote w:type="continuationSeparator" w:id="0">
    <w:p w14:paraId="0E89787F" w14:textId="77777777" w:rsidR="0031076B" w:rsidRDefault="0031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456998F1"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21E2">
      <w:rPr>
        <w:rStyle w:val="PageNumber"/>
        <w:noProof/>
      </w:rPr>
      <w:t>1</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2D0A1" w14:textId="77777777" w:rsidR="0031076B" w:rsidRDefault="0031076B">
      <w:r>
        <w:separator/>
      </w:r>
    </w:p>
  </w:footnote>
  <w:footnote w:type="continuationSeparator" w:id="0">
    <w:p w14:paraId="115711E5" w14:textId="77777777" w:rsidR="0031076B" w:rsidRDefault="00310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0D1DAE"/>
    <w:rsid w:val="00103397"/>
    <w:rsid w:val="00111D9F"/>
    <w:rsid w:val="00121CB5"/>
    <w:rsid w:val="00155231"/>
    <w:rsid w:val="0016145A"/>
    <w:rsid w:val="00162828"/>
    <w:rsid w:val="00164635"/>
    <w:rsid w:val="00195ACA"/>
    <w:rsid w:val="001A7A90"/>
    <w:rsid w:val="001B1113"/>
    <w:rsid w:val="001F6A08"/>
    <w:rsid w:val="00207ECD"/>
    <w:rsid w:val="00212B1D"/>
    <w:rsid w:val="00240BAD"/>
    <w:rsid w:val="00242C64"/>
    <w:rsid w:val="002630B7"/>
    <w:rsid w:val="0026438B"/>
    <w:rsid w:val="00266549"/>
    <w:rsid w:val="00271A02"/>
    <w:rsid w:val="002A7493"/>
    <w:rsid w:val="002C3431"/>
    <w:rsid w:val="002C6F82"/>
    <w:rsid w:val="0031076B"/>
    <w:rsid w:val="00311A3B"/>
    <w:rsid w:val="0031373B"/>
    <w:rsid w:val="00324128"/>
    <w:rsid w:val="00334AED"/>
    <w:rsid w:val="00342944"/>
    <w:rsid w:val="00360B3D"/>
    <w:rsid w:val="00361E35"/>
    <w:rsid w:val="003664E9"/>
    <w:rsid w:val="003679A1"/>
    <w:rsid w:val="003A42F0"/>
    <w:rsid w:val="003B4AF3"/>
    <w:rsid w:val="003B4DF6"/>
    <w:rsid w:val="003E0740"/>
    <w:rsid w:val="003E1F76"/>
    <w:rsid w:val="0040540C"/>
    <w:rsid w:val="00405542"/>
    <w:rsid w:val="004554FB"/>
    <w:rsid w:val="00472691"/>
    <w:rsid w:val="00475FD2"/>
    <w:rsid w:val="004817F6"/>
    <w:rsid w:val="00486034"/>
    <w:rsid w:val="004B0E36"/>
    <w:rsid w:val="004B224D"/>
    <w:rsid w:val="004C3E30"/>
    <w:rsid w:val="004E283C"/>
    <w:rsid w:val="004E7185"/>
    <w:rsid w:val="00501AC9"/>
    <w:rsid w:val="0050511E"/>
    <w:rsid w:val="00516310"/>
    <w:rsid w:val="00534D38"/>
    <w:rsid w:val="005553EF"/>
    <w:rsid w:val="00556B4C"/>
    <w:rsid w:val="005665C4"/>
    <w:rsid w:val="00567E81"/>
    <w:rsid w:val="00591A57"/>
    <w:rsid w:val="00597466"/>
    <w:rsid w:val="005A4E38"/>
    <w:rsid w:val="005B372F"/>
    <w:rsid w:val="005B6B44"/>
    <w:rsid w:val="005D0C10"/>
    <w:rsid w:val="005D2E75"/>
    <w:rsid w:val="005E1FBC"/>
    <w:rsid w:val="00633267"/>
    <w:rsid w:val="00634984"/>
    <w:rsid w:val="006455A5"/>
    <w:rsid w:val="006561D8"/>
    <w:rsid w:val="00675661"/>
    <w:rsid w:val="00683131"/>
    <w:rsid w:val="00695280"/>
    <w:rsid w:val="006A053E"/>
    <w:rsid w:val="006A3E34"/>
    <w:rsid w:val="006B2581"/>
    <w:rsid w:val="006C522D"/>
    <w:rsid w:val="007000D9"/>
    <w:rsid w:val="007062A4"/>
    <w:rsid w:val="0071174B"/>
    <w:rsid w:val="00747701"/>
    <w:rsid w:val="007534B9"/>
    <w:rsid w:val="007629D3"/>
    <w:rsid w:val="0078533C"/>
    <w:rsid w:val="00794616"/>
    <w:rsid w:val="00795747"/>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C0548"/>
    <w:rsid w:val="00BC0C6A"/>
    <w:rsid w:val="00BD2C44"/>
    <w:rsid w:val="00BE2B48"/>
    <w:rsid w:val="00C03C1E"/>
    <w:rsid w:val="00C10EE0"/>
    <w:rsid w:val="00C12556"/>
    <w:rsid w:val="00C164B8"/>
    <w:rsid w:val="00C6170A"/>
    <w:rsid w:val="00C739C4"/>
    <w:rsid w:val="00CC11D5"/>
    <w:rsid w:val="00CD7653"/>
    <w:rsid w:val="00CE7B50"/>
    <w:rsid w:val="00CF1840"/>
    <w:rsid w:val="00D07045"/>
    <w:rsid w:val="00D22B0F"/>
    <w:rsid w:val="00D318E5"/>
    <w:rsid w:val="00D32E24"/>
    <w:rsid w:val="00D364A1"/>
    <w:rsid w:val="00D520FE"/>
    <w:rsid w:val="00D721E2"/>
    <w:rsid w:val="00D73446"/>
    <w:rsid w:val="00D90DA6"/>
    <w:rsid w:val="00D97594"/>
    <w:rsid w:val="00DA791B"/>
    <w:rsid w:val="00DB45A3"/>
    <w:rsid w:val="00DC7186"/>
    <w:rsid w:val="00DD67A1"/>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476E"/>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ature.com/articles/nprot.2016.136" TargetMode="External"/><Relationship Id="rId1" Type="http://schemas.openxmlformats.org/officeDocument/2006/relationships/hyperlink" Target="https://doi.org/10.1038/nprot.2016.13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BAF56-C66E-4422-A656-F52191AB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0</TotalTime>
  <Pages>12</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32566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2</cp:revision>
  <cp:lastPrinted>2008-06-11T21:33:00Z</cp:lastPrinted>
  <dcterms:created xsi:type="dcterms:W3CDTF">2020-02-05T19:34:00Z</dcterms:created>
  <dcterms:modified xsi:type="dcterms:W3CDTF">2020-02-05T19:34:00Z</dcterms:modified>
</cp:coreProperties>
</file>