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207ECD">
      <w:pPr>
        <w:pStyle w:val="BIEmailAddress"/>
      </w:pPr>
      <w:r>
        <w:t>* Corresponding author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7674E86E"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71631006" w:rsidR="00843D4C" w:rsidRDefault="00DD67A1" w:rsidP="00162828">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0"/>
      <w:r>
        <w:t>mass spectrometer,</w:t>
      </w:r>
      <w:commentRangeEnd w:id="0"/>
      <w:r>
        <w:rPr>
          <w:rStyle w:val="CommentReference"/>
        </w:rPr>
        <w:commentReference w:id="0"/>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3DF5E9A4" w:rsidR="00164635" w:rsidRDefault="00486034" w:rsidP="007D21D0">
      <w:pPr>
        <w:pStyle w:val="TAMainText"/>
      </w:pPr>
      <w:r>
        <w:t xml:space="preserve">In a single </w:t>
      </w:r>
      <w:r w:rsidR="005E71B3">
        <w:t xml:space="preserve">mass spectrometry </w:t>
      </w:r>
      <w:r>
        <w:t xml:space="preserve">run </w:t>
      </w:r>
      <w:r w:rsidR="007E3B61">
        <w:t>peptide level</w:t>
      </w:r>
      <w:r w:rsidR="00266549">
        <w:t>s</w:t>
      </w:r>
      <w:r w:rsidR="007E3B61">
        <w:t xml:space="preserve"> of thousands of proteins are being measured for up to several patients. However, </w:t>
      </w:r>
      <w:r w:rsidR="005E71B3">
        <w:t xml:space="preserve">mass spectrometry </w:t>
      </w:r>
      <w:r w:rsidR="007E3B61">
        <w:t>data is often affected by systemic bias, variation</w:t>
      </w:r>
      <w:r w:rsidR="005E71B3">
        <w:t>s</w:t>
      </w:r>
      <w:r w:rsidR="007E3B61">
        <w:t xml:space="preserve">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T</w:t>
      </w:r>
      <w:r w:rsidR="00F82C2D">
        <w:t xml:space="preserve">hese sources of variation can include </w:t>
      </w:r>
      <w:r w:rsidR="007E3B61">
        <w:t xml:space="preserve">sample preparation and handling, device calibration, changes in temperature </w:t>
      </w:r>
      <w:r w:rsidR="00334AED">
        <w:t>and other unknown sources</w:t>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xml:space="preserve">. Unlike the effect of batching, these sources of variation are either not measured or simply cannot be measured, and therefore cannot be controlled for </w:t>
      </w:r>
      <w:r w:rsidR="005E71B3">
        <w:t>during</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being adopted from DNA microarray technology</w:t>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5E71B3">
        <w:t>titative label-free proteomics. W</w:t>
      </w:r>
      <w:r w:rsidR="00893B07">
        <w:t xml:space="preserve">hile there are </w:t>
      </w:r>
      <w:r w:rsidR="005E71B3">
        <w:t xml:space="preserve">certain </w:t>
      </w:r>
      <w:r w:rsidR="00893B07">
        <w:t>normalization methods that consistently rank amount the top performing methods</w:t>
      </w:r>
      <w:r w:rsidR="005E71B3">
        <w:t xml:space="preserve"> (i.e., </w:t>
      </w:r>
      <w:r w:rsidR="00BB5CC0">
        <w:t>v</w:t>
      </w:r>
      <w:r w:rsidR="00BB5CC0" w:rsidRPr="00BB5CC0">
        <w:t xml:space="preserve">ariance </w:t>
      </w:r>
      <w:r w:rsidR="00BB5CC0">
        <w:t>s</w:t>
      </w:r>
      <w:r w:rsidR="00BB5CC0" w:rsidRPr="00BB5CC0">
        <w:t xml:space="preserve">tabilizing </w:t>
      </w:r>
      <w:r w:rsidR="00BB5CC0">
        <w:t>n</w:t>
      </w:r>
      <w:r w:rsidR="00BB5CC0" w:rsidRPr="00BB5CC0">
        <w:t xml:space="preserve">ormalization </w:t>
      </w:r>
      <w:r w:rsidR="00BB5CC0">
        <w:t>(</w:t>
      </w:r>
      <w:r w:rsidR="005E71B3">
        <w:t>VSN</w:t>
      </w:r>
      <w:r w:rsidR="00BB5CC0">
        <w:t>)</w:t>
      </w:r>
      <w:r w:rsidR="005E71B3">
        <w:t>, linear regression normalization and local regression normalization</w:t>
      </w:r>
      <w:r w:rsidR="005E71B3">
        <w:t>)</w:t>
      </w:r>
      <w:r w:rsidR="00893B07">
        <w:t xml:space="preserve">, it is curial to select </w:t>
      </w:r>
      <w:r w:rsidR="00E27038">
        <w:t>a</w:t>
      </w:r>
      <w:r w:rsidR="00893B07">
        <w:t xml:space="preserve"> suitable normalization method depending on the data set</w:t>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r w:rsidR="005E71B3">
        <w:t>respectively</w:t>
      </w:r>
      <w:r w:rsidR="00E27038">
        <w:t xml:space="preserve">. </w:t>
      </w:r>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r w:rsidR="00311A3B" w:rsidRPr="00E27038">
        <w:t>Normalyzer</w:t>
      </w:r>
      <w:r w:rsidR="00311A3B">
        <w:t xml:space="preserve"> includes popular normalization methods such as </w:t>
      </w:r>
      <w:r w:rsidR="00311A3B" w:rsidRPr="00311A3B">
        <w:t xml:space="preserve">linear </w:t>
      </w:r>
      <w:r w:rsidR="00311A3B" w:rsidRPr="00311A3B">
        <w:lastRenderedPageBreak/>
        <w:t xml:space="preserve">regression, local regression, total intensity, average intensity, 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1"/>
      <w:r w:rsidR="00311A3B">
        <w:rPr>
          <w:rStyle w:val="CommentReference"/>
        </w:rPr>
        <w:commentReference w:id="1"/>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4D92E22A"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w:t>
      </w:r>
      <w:r w:rsidR="00273587">
        <w:t xml:space="preserve">user-friendly </w:t>
      </w:r>
      <w:r>
        <w:t xml:space="preserve">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273587">
        <w:t>filter</w:t>
      </w:r>
      <w:r w:rsidR="00AC5467">
        <w:t xml:space="preserve"> peptide </w:t>
      </w:r>
      <w:r w:rsidR="00273587">
        <w:t>using the “</w:t>
      </w:r>
      <w:r w:rsidR="00643614">
        <w:t>T</w:t>
      </w:r>
      <w:commentRangeStart w:id="2"/>
      <w:r w:rsidR="00273587">
        <w:t>op3” method</w:t>
      </w:r>
      <w:commentRangeEnd w:id="2"/>
      <w:r w:rsidR="00273587">
        <w:rPr>
          <w:rStyle w:val="CommentReference"/>
        </w:rPr>
        <w:commentReference w:id="2"/>
      </w:r>
      <w:r w:rsidR="00273587">
        <w:t xml:space="preserve"> and</w:t>
      </w:r>
      <w:r w:rsidR="00AC5467">
        <w:t xml:space="preserve"> </w:t>
      </w:r>
      <w:r w:rsidR="003B4DF6">
        <w:t>create and load a filtered protein file or to load a raw protein file. The meta</w:t>
      </w:r>
      <w:r w:rsidR="005E71B3">
        <w:t>-</w:t>
      </w:r>
      <w:r w:rsidR="003B4DF6">
        <w:t>data (i.e., custom sample names, group labels and batch labels) can be specified in the user-interface after loading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643614">
        <w:t xml:space="preserve">missing values can be imputed (optional) and </w:t>
      </w:r>
      <w:r w:rsidR="00E02011">
        <w:t xml:space="preserve">the </w:t>
      </w:r>
      <w:r w:rsidR="00643614">
        <w:t xml:space="preserve">normalized protein </w:t>
      </w:r>
      <w:r w:rsidR="00E02011">
        <w:t xml:space="preserve">data can be </w:t>
      </w:r>
      <w:r w:rsidR="00103397">
        <w:t>saved</w:t>
      </w:r>
      <w:r w:rsidR="00643614">
        <w:t>.</w:t>
      </w:r>
      <w:r w:rsidR="00E02011">
        <w:t xml:space="preserve"> </w:t>
      </w:r>
      <w:r w:rsidR="00643614">
        <w:t xml:space="preserve">In addition, </w:t>
      </w:r>
      <w:r w:rsidR="00E02011" w:rsidRPr="00164635">
        <w:t>different differential abundance methods</w:t>
      </w:r>
      <w:r w:rsidR="00E02011">
        <w:t xml:space="preserve"> </w:t>
      </w:r>
      <w:r w:rsidR="00643614">
        <w:t xml:space="preserve">can be evaluated </w:t>
      </w:r>
      <w:r w:rsidR="00E02011">
        <w:t>for a selected normalization method</w:t>
      </w:r>
      <w:r w:rsidR="00643614">
        <w:t xml:space="preserve"> and </w:t>
      </w:r>
      <w:r w:rsidR="00E02011">
        <w:t xml:space="preserve">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084F78A" w:rsidR="005665C4" w:rsidRDefault="008E3A29" w:rsidP="00F8527D">
      <w:pPr>
        <w:pStyle w:val="TAMainText"/>
        <w:spacing w:after="240"/>
        <w:ind w:firstLine="0"/>
        <w:jc w:val="left"/>
      </w:pPr>
      <w:r>
        <w:t xml:space="preserve">Our tool </w:t>
      </w:r>
      <w:r w:rsidR="005665C4">
        <w:t xml:space="preserve">proteiNorm </w:t>
      </w:r>
      <w:r w:rsidR="004817F6">
        <w:t xml:space="preserve">is </w:t>
      </w:r>
      <w:r w:rsidR="005665C4">
        <w:t>implemen</w:t>
      </w:r>
      <w:r w:rsidR="00F8527D">
        <w:t xml:space="preserve">ted in R statistical language </w:t>
      </w:r>
      <w:r w:rsidR="00F8527D" w:rsidRPr="00F8527D">
        <w:t>(</w:t>
      </w:r>
      <w:hyperlink r:id="rId10"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1"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4B224D">
        <w:fldChar w:fldCharType="separate"/>
      </w:r>
      <w:r w:rsidR="004B224D">
        <w:t xml:space="preserve">Figure </w:t>
      </w:r>
      <w:r w:rsidR="004B224D">
        <w:rPr>
          <w:noProof/>
        </w:rPr>
        <w:t>1</w:t>
      </w:r>
      <w:r w:rsidR="004B224D">
        <w:fldChar w:fldCharType="end"/>
      </w:r>
      <w:r w:rsidR="00DE4FF6">
        <w:t xml:space="preserve"> shows a </w:t>
      </w:r>
      <w:r w:rsidR="00DE4FF6">
        <w:t>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w:t>
      </w:r>
      <w:r w:rsidR="00DE4FF6">
        <w:t>appropriate</w:t>
      </w:r>
      <w:r w:rsidR="004B224D">
        <w:t xml:space="preserve"> imputation method (optional), export normalized (and imputed) protein-level data. If a user uncertain about the choice of the method for the differential analysis, proteiNorm provides the option so compare different differential </w:t>
      </w:r>
      <w:r w:rsidR="00D73446" w:rsidRPr="00A11C15">
        <w:t xml:space="preserve">abundance </w:t>
      </w:r>
      <w:r w:rsidR="00D73446">
        <w:t xml:space="preserve">and expression methods provided by the R package “DAtest”. </w:t>
      </w:r>
      <w:commentRangeStart w:id="3"/>
      <w:r w:rsidR="00D73446">
        <w:t>[</w:t>
      </w:r>
      <w:proofErr w:type="gramStart"/>
      <w:r w:rsidR="00D73446">
        <w:t>insert</w:t>
      </w:r>
      <w:proofErr w:type="gramEnd"/>
      <w:r w:rsidR="00D73446">
        <w:t xml:space="preserve"> DAtest reference]</w:t>
      </w:r>
      <w:commentRangeEnd w:id="3"/>
      <w:r w:rsidR="00D73446">
        <w:rPr>
          <w:rStyle w:val="CommentReference"/>
        </w:rPr>
        <w:commentReference w:id="3"/>
      </w:r>
    </w:p>
    <w:p w14:paraId="79A2BCD1" w14:textId="77777777" w:rsidR="004B224D" w:rsidRDefault="00F46A30"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02882CA9" w:rsidR="00342944" w:rsidRDefault="004B224D" w:rsidP="004B224D">
      <w:pPr>
        <w:pStyle w:val="Caption"/>
        <w:jc w:val="center"/>
      </w:pPr>
      <w:bookmarkStart w:id="4" w:name="_Ref31633137"/>
      <w:bookmarkStart w:id="5" w:name="_Ref31633114"/>
      <w:r>
        <w:t xml:space="preserve">Figure </w:t>
      </w:r>
      <w:fldSimple w:instr=" SEQ Figure \* ARABIC ">
        <w:r w:rsidR="00324420">
          <w:rPr>
            <w:noProof/>
          </w:rPr>
          <w:t>1</w:t>
        </w:r>
      </w:fldSimple>
      <w:bookmarkEnd w:id="4"/>
      <w:r>
        <w:rPr>
          <w:noProof/>
        </w:rPr>
        <w:t xml:space="preserve"> Workflow</w:t>
      </w:r>
      <w:bookmarkEnd w:id="5"/>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5E910EB0"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6"/>
      <w:r w:rsidR="00D07045" w:rsidRPr="00D07045">
        <w:t>MaxQuant</w:t>
      </w:r>
      <w:commentRangeEnd w:id="6"/>
      <w:r w:rsidR="00FD476E">
        <w:rPr>
          <w:rStyle w:val="CommentReference"/>
        </w:rPr>
        <w:commentReference w:id="6"/>
      </w:r>
      <w:r w:rsidR="005D2E75">
        <w:t xml:space="preserve">, where the column names of the measured intensities start with “Reporter intensity corrected” followed by an integer and an </w:t>
      </w:r>
      <w:r w:rsidR="005D2E75">
        <w:lastRenderedPageBreak/>
        <w:t>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5C367F98" w:rsidR="00A11C15" w:rsidRDefault="00A11C15" w:rsidP="00A11C15">
      <w:pPr>
        <w:pStyle w:val="TAMainText"/>
        <w:rPr>
          <w:color w:val="000000"/>
          <w:shd w:val="clear" w:color="auto" w:fill="FFFFFF"/>
        </w:rPr>
      </w:pPr>
      <w:r>
        <w:t>Due to the detection limit of m</w:t>
      </w:r>
      <w:r w:rsidRPr="00A11C15">
        <w:t>ass spectrometry</w:t>
      </w:r>
      <w:r>
        <w:t xml:space="preserve"> instruments many peptide/protein measurements have an intensity measurement of zero. These values will be considered as missing</w:t>
      </w:r>
      <w:r w:rsidR="00695280">
        <w:t xml:space="preserve"> values (denoted as NA) and can, if desired, </w:t>
      </w:r>
      <w:r w:rsidR="00A549F1">
        <w:t xml:space="preserve">be </w:t>
      </w:r>
      <w:r>
        <w:t xml:space="preserve">imputed with </w:t>
      </w:r>
      <w:r>
        <w:rPr>
          <w:color w:val="000000"/>
          <w:shd w:val="clear" w:color="auto" w:fill="FFFFFF"/>
        </w:rPr>
        <w:t xml:space="preserve">precaution. </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41174424"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 xml:space="preserve">and log2-ratio </w:t>
      </w:r>
      <w:commentRangeStart w:id="7"/>
      <w:r>
        <w:t>distributions</w:t>
      </w:r>
      <w:r w:rsidR="00CC11D5">
        <w:t xml:space="preserve"> </w:t>
      </w:r>
      <w:commentRangeEnd w:id="7"/>
      <w:r w:rsidR="00CC11D5">
        <w:rPr>
          <w:rStyle w:val="CommentReference"/>
        </w:rPr>
        <w:commentReference w:id="7"/>
      </w:r>
      <w:r w:rsidR="00CC11D5">
        <w:t>(</w:t>
      </w:r>
      <w:r w:rsidR="00CC11D5">
        <w:fldChar w:fldCharType="begin"/>
      </w:r>
      <w:r w:rsidR="00CC11D5">
        <w:instrText xml:space="preserve"> REF _Ref31636611 \h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bookmarkStart w:id="8" w:name="_GoBack"/>
      <w:bookmarkEnd w:id="8"/>
    </w:p>
    <w:p w14:paraId="7D69448C" w14:textId="77777777" w:rsidR="00324420" w:rsidRDefault="00324420" w:rsidP="00324420">
      <w:pPr>
        <w:pStyle w:val="TAMainText"/>
        <w:keepNext/>
        <w:spacing w:after="240"/>
        <w:ind w:firstLine="0"/>
        <w:jc w:val="left"/>
      </w:pPr>
      <w:r>
        <w:lastRenderedPageBreak/>
        <w:pict w14:anchorId="62C9AD55">
          <v:shape id="_x0000_i1031" type="#_x0000_t75" style="width:467.25pt;height:600pt">
            <v:imagedata r:id="rId13" o:title="figure"/>
          </v:shape>
        </w:pict>
      </w:r>
    </w:p>
    <w:p w14:paraId="6DF92FC0" w14:textId="01586584" w:rsidR="00324420" w:rsidRDefault="00324420" w:rsidP="00324420">
      <w:pPr>
        <w:pStyle w:val="Caption"/>
        <w:jc w:val="left"/>
      </w:pPr>
      <w:r>
        <w:t xml:space="preserve">Figure </w:t>
      </w:r>
      <w:fldSimple w:instr=" SEQ Figure \* ARABIC ">
        <w:r>
          <w:rPr>
            <w:noProof/>
          </w:rPr>
          <w:t>2</w:t>
        </w:r>
      </w:fldSimple>
      <w:r>
        <w:t xml:space="preserve"> </w:t>
      </w:r>
      <w:r w:rsidRPr="000A73A4">
        <w:t>Metrics</w:t>
      </w:r>
    </w:p>
    <w:p w14:paraId="373B31AD" w14:textId="77777777" w:rsidR="00324420" w:rsidRPr="00324420" w:rsidRDefault="00324420" w:rsidP="00324420"/>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9"/>
      <w:r w:rsidR="00A11C15">
        <w:t>imputation methods</w:t>
      </w:r>
      <w:commentRangeEnd w:id="9"/>
      <w:r w:rsidR="00534D38">
        <w:rPr>
          <w:rStyle w:val="CommentReference"/>
        </w:rPr>
        <w:commentReference w:id="9"/>
      </w:r>
      <w:r w:rsidR="00A11C15">
        <w:t xml:space="preserve">: </w:t>
      </w:r>
      <w:r w:rsidR="00A11C15" w:rsidRPr="00A11C15">
        <w:t>k-nearest neighbors (KNN)</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r w:rsidR="00A11C15" w:rsidRPr="00A11C15">
        <w:t>QRILC</w:t>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proofErr w:type="spellStart"/>
      <w:r w:rsidR="00A11C15">
        <w:t>MinDet</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proofErr w:type="spellStart"/>
      <w:r w:rsidR="00A11C15">
        <w:t>MinProb</w:t>
      </w:r>
      <w:proofErr w:type="spellEnd"/>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0"/>
      <w:r>
        <w:t>on</w:t>
      </w:r>
      <w:r w:rsidR="00534D38">
        <w:t xml:space="preserve"> natural intensity</w:t>
      </w:r>
      <w:r>
        <w:t xml:space="preserve"> scale</w:t>
      </w:r>
      <w:commentRangeEnd w:id="10"/>
      <w:r w:rsidR="00534D38">
        <w:rPr>
          <w:rStyle w:val="CommentReference"/>
        </w:rPr>
        <w:commentReference w:id="1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w:t>
      </w:r>
      <w:r w:rsidR="00F17CC2">
        <w:lastRenderedPageBreak/>
        <w:t xml:space="preserve">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A4CA284" w14:textId="3B4CC2C1" w:rsidR="00242C64" w:rsidRDefault="00242C64" w:rsidP="00242C64">
      <w:pPr>
        <w:pStyle w:val="TAMainText"/>
        <w:numPr>
          <w:ilvl w:val="1"/>
          <w:numId w:val="12"/>
        </w:numPr>
        <w:spacing w:after="240"/>
        <w:jc w:val="left"/>
        <w:rPr>
          <w:b/>
        </w:rPr>
      </w:pPr>
      <w:r>
        <w:rPr>
          <w:b/>
        </w:rPr>
        <w:t>Data</w:t>
      </w:r>
    </w:p>
    <w:p w14:paraId="7CA1166E" w14:textId="0E5555A8" w:rsidR="00A11C15" w:rsidRPr="00987683" w:rsidRDefault="00D520FE" w:rsidP="00A11C15">
      <w:pPr>
        <w:pStyle w:val="TAMainText"/>
        <w:spacing w:after="240"/>
        <w:ind w:firstLine="0"/>
        <w:jc w:val="left"/>
        <w:rPr>
          <w:b/>
        </w:rPr>
      </w:pPr>
      <w:r>
        <w:t xml:space="preserve">3 cell lines (untreated, treated), 2 batches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79DA3892" w14:textId="16C89B8B" w:rsidR="0050511E" w:rsidRDefault="0050511E" w:rsidP="00D520FE">
      <w:pPr>
        <w:pStyle w:val="TAMainText"/>
        <w:spacing w:after="240"/>
        <w:ind w:firstLine="0"/>
        <w:jc w:val="left"/>
      </w:pPr>
      <w:r>
        <w:t xml:space="preserve">To demonstrate the </w:t>
      </w:r>
      <w:r w:rsidR="00675661">
        <w:t xml:space="preserve">application of proteiNorm and interpretation of the results, the following section describes the analysis of the proteome of three breast cancer cell lines (each treated and untreated with </w:t>
      </w:r>
      <w:r w:rsidR="00795747" w:rsidRPr="00795747">
        <w:t>Hydroxyurea</w:t>
      </w:r>
      <w:r w:rsidR="00675661">
        <w:t xml:space="preserve">) from two </w:t>
      </w:r>
      <w:r w:rsidR="00675661" w:rsidRPr="00843D4C">
        <w:t>Tandem Mass Tag</w:t>
      </w:r>
      <w:r w:rsidR="00675661">
        <w:t xml:space="preserve"> (TMT)</w:t>
      </w:r>
      <w:r w:rsidR="00675661" w:rsidRPr="00843D4C">
        <w:t xml:space="preserve"> </w:t>
      </w:r>
      <w:r w:rsidR="00675661">
        <w:t>m</w:t>
      </w:r>
      <w:r w:rsidR="00675661" w:rsidRPr="00843D4C">
        <w:t xml:space="preserve">ass </w:t>
      </w:r>
      <w:r w:rsidR="00675661">
        <w:t>s</w:t>
      </w:r>
      <w:r w:rsidR="00675661" w:rsidRPr="00843D4C">
        <w:t>pectrometry</w:t>
      </w:r>
      <w:r w:rsidR="00675661">
        <w:t xml:space="preserve"> batches. </w:t>
      </w:r>
    </w:p>
    <w:p w14:paraId="5C4825DF" w14:textId="061F7207" w:rsidR="00675661" w:rsidRDefault="00675661" w:rsidP="00675661">
      <w:pPr>
        <w:pStyle w:val="TAMainText"/>
        <w:spacing w:after="240"/>
        <w:ind w:firstLine="0"/>
        <w:jc w:val="left"/>
        <w:rPr>
          <w:b/>
        </w:rPr>
      </w:pPr>
    </w:p>
    <w:p w14:paraId="7F662751" w14:textId="77777777" w:rsidR="00675661" w:rsidRPr="00675661" w:rsidRDefault="00675661" w:rsidP="00675661">
      <w:pPr>
        <w:pStyle w:val="TAMainText"/>
        <w:spacing w:after="240"/>
        <w:ind w:firstLine="0"/>
        <w:jc w:val="left"/>
        <w:rPr>
          <w:b/>
        </w:rPr>
      </w:pPr>
    </w:p>
    <w:p w14:paraId="19224272" w14:textId="75586C85"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lastRenderedPageBreak/>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lastRenderedPageBreak/>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4"/>
      <w:footerReference w:type="default" r:id="rId15"/>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1"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2" w:author="Graw, Stefan H" w:date="2020-02-26T13:40:00Z" w:initials="GSH">
    <w:p w14:paraId="648A5204" w14:textId="77777777" w:rsidR="00273587" w:rsidRDefault="00273587" w:rsidP="00273587">
      <w:pPr>
        <w:pStyle w:val="Heading1"/>
        <w:shd w:val="clear" w:color="auto" w:fill="FFFFFF"/>
        <w:spacing w:before="120" w:beforeAutospacing="0" w:after="120" w:afterAutospacing="0" w:line="300" w:lineRule="atLeast"/>
        <w:rPr>
          <w:rFonts w:ascii="Arial" w:hAnsi="Arial" w:cs="Arial"/>
          <w:color w:val="000000"/>
          <w:sz w:val="34"/>
          <w:szCs w:val="34"/>
        </w:rPr>
      </w:pPr>
      <w:r>
        <w:rPr>
          <w:rStyle w:val="CommentReference"/>
        </w:rPr>
        <w:annotationRef/>
      </w:r>
      <w:r>
        <w:rPr>
          <w:rFonts w:ascii="Arial" w:hAnsi="Arial" w:cs="Arial"/>
          <w:color w:val="000000"/>
          <w:sz w:val="34"/>
          <w:szCs w:val="34"/>
        </w:rPr>
        <w:t>Absolute quantification of proteins by LCMSE: a virtue of parallel MS acquisition.</w:t>
      </w:r>
    </w:p>
    <w:p w14:paraId="297961B6" w14:textId="77777777" w:rsidR="00273587" w:rsidRDefault="00273587" w:rsidP="00273587">
      <w:pPr>
        <w:shd w:val="clear" w:color="auto" w:fill="FFFFFF"/>
        <w:rPr>
          <w:rFonts w:ascii="Arial" w:hAnsi="Arial" w:cs="Arial"/>
          <w:color w:val="000000"/>
          <w:sz w:val="22"/>
          <w:szCs w:val="22"/>
        </w:rPr>
      </w:pPr>
      <w:hyperlink r:id="rId1" w:history="1">
        <w:r>
          <w:rPr>
            <w:rStyle w:val="Hyperlink"/>
            <w:rFonts w:ascii="Arial" w:hAnsi="Arial" w:cs="Arial"/>
            <w:color w:val="660066"/>
            <w:sz w:val="22"/>
            <w:szCs w:val="22"/>
          </w:rPr>
          <w:t>Silva JC</w:t>
        </w:r>
      </w:hyperlink>
      <w:r>
        <w:rPr>
          <w:rFonts w:ascii="Arial" w:hAnsi="Arial" w:cs="Arial"/>
          <w:color w:val="000000"/>
          <w:sz w:val="19"/>
          <w:szCs w:val="19"/>
          <w:vertAlign w:val="superscript"/>
        </w:rPr>
        <w:t>1</w:t>
      </w:r>
      <w:r>
        <w:rPr>
          <w:rFonts w:ascii="Arial" w:hAnsi="Arial" w:cs="Arial"/>
          <w:color w:val="000000"/>
          <w:sz w:val="22"/>
          <w:szCs w:val="22"/>
        </w:rPr>
        <w:t>, </w:t>
      </w:r>
      <w:hyperlink r:id="rId2" w:history="1">
        <w:proofErr w:type="spellStart"/>
        <w:r>
          <w:rPr>
            <w:rStyle w:val="Hyperlink"/>
            <w:rFonts w:ascii="Arial" w:hAnsi="Arial" w:cs="Arial"/>
            <w:color w:val="660066"/>
            <w:sz w:val="22"/>
            <w:szCs w:val="22"/>
          </w:rPr>
          <w:t>Gorenstein</w:t>
        </w:r>
        <w:proofErr w:type="spellEnd"/>
        <w:r>
          <w:rPr>
            <w:rStyle w:val="Hyperlink"/>
            <w:rFonts w:ascii="Arial" w:hAnsi="Arial" w:cs="Arial"/>
            <w:color w:val="660066"/>
            <w:sz w:val="22"/>
            <w:szCs w:val="22"/>
          </w:rPr>
          <w:t xml:space="preserve"> MV</w:t>
        </w:r>
      </w:hyperlink>
      <w:r>
        <w:rPr>
          <w:rFonts w:ascii="Arial" w:hAnsi="Arial" w:cs="Arial"/>
          <w:color w:val="000000"/>
          <w:sz w:val="22"/>
          <w:szCs w:val="22"/>
        </w:rPr>
        <w:t>, </w:t>
      </w:r>
      <w:hyperlink r:id="rId3" w:history="1">
        <w:r>
          <w:rPr>
            <w:rStyle w:val="Hyperlink"/>
            <w:rFonts w:ascii="Arial" w:hAnsi="Arial" w:cs="Arial"/>
            <w:color w:val="660066"/>
            <w:sz w:val="22"/>
            <w:szCs w:val="22"/>
          </w:rPr>
          <w:t>Li GZ</w:t>
        </w:r>
      </w:hyperlink>
      <w:r>
        <w:rPr>
          <w:rFonts w:ascii="Arial" w:hAnsi="Arial" w:cs="Arial"/>
          <w:color w:val="000000"/>
          <w:sz w:val="22"/>
          <w:szCs w:val="22"/>
        </w:rPr>
        <w:t>, </w:t>
      </w:r>
      <w:hyperlink r:id="rId4" w:history="1">
        <w:proofErr w:type="spellStart"/>
        <w:r>
          <w:rPr>
            <w:rStyle w:val="Hyperlink"/>
            <w:rFonts w:ascii="Arial" w:hAnsi="Arial" w:cs="Arial"/>
            <w:color w:val="660066"/>
            <w:sz w:val="22"/>
            <w:szCs w:val="22"/>
          </w:rPr>
          <w:t>Vissers</w:t>
        </w:r>
        <w:proofErr w:type="spellEnd"/>
        <w:r>
          <w:rPr>
            <w:rStyle w:val="Hyperlink"/>
            <w:rFonts w:ascii="Arial" w:hAnsi="Arial" w:cs="Arial"/>
            <w:color w:val="660066"/>
            <w:sz w:val="22"/>
            <w:szCs w:val="22"/>
          </w:rPr>
          <w:t xml:space="preserve"> JP</w:t>
        </w:r>
      </w:hyperlink>
      <w:r>
        <w:rPr>
          <w:rFonts w:ascii="Arial" w:hAnsi="Arial" w:cs="Arial"/>
          <w:color w:val="000000"/>
          <w:sz w:val="22"/>
          <w:szCs w:val="22"/>
        </w:rPr>
        <w:t>, </w:t>
      </w:r>
      <w:hyperlink r:id="rId5" w:history="1">
        <w:proofErr w:type="spellStart"/>
        <w:r>
          <w:rPr>
            <w:rStyle w:val="Hyperlink"/>
            <w:rFonts w:ascii="Arial" w:hAnsi="Arial" w:cs="Arial"/>
            <w:color w:val="660066"/>
            <w:sz w:val="22"/>
            <w:szCs w:val="22"/>
          </w:rPr>
          <w:t>Geromanos</w:t>
        </w:r>
        <w:proofErr w:type="spellEnd"/>
        <w:r>
          <w:rPr>
            <w:rStyle w:val="Hyperlink"/>
            <w:rFonts w:ascii="Arial" w:hAnsi="Arial" w:cs="Arial"/>
            <w:color w:val="660066"/>
            <w:sz w:val="22"/>
            <w:szCs w:val="22"/>
          </w:rPr>
          <w:t xml:space="preserve"> SJ</w:t>
        </w:r>
      </w:hyperlink>
      <w:r>
        <w:rPr>
          <w:rFonts w:ascii="Arial" w:hAnsi="Arial" w:cs="Arial"/>
          <w:color w:val="000000"/>
          <w:sz w:val="22"/>
          <w:szCs w:val="22"/>
        </w:rPr>
        <w:t>.</w:t>
      </w:r>
    </w:p>
    <w:p w14:paraId="2046436C" w14:textId="245BE25E" w:rsidR="00273587" w:rsidRDefault="00273587">
      <w:pPr>
        <w:pStyle w:val="CommentText"/>
      </w:pPr>
    </w:p>
    <w:p w14:paraId="7407FBE6" w14:textId="77777777" w:rsidR="00273587" w:rsidRDefault="00273587">
      <w:pPr>
        <w:pStyle w:val="CommentText"/>
      </w:pPr>
    </w:p>
  </w:comment>
  <w:comment w:id="3" w:author="Graw, Stefan H" w:date="2020-02-03T14:49:00Z" w:initials="GSH">
    <w:p w14:paraId="0CF744F0" w14:textId="1FCDFA5E" w:rsidR="00D73446" w:rsidRDefault="00D73446">
      <w:pPr>
        <w:pStyle w:val="CommentText"/>
      </w:pPr>
      <w:r>
        <w:rPr>
          <w:rStyle w:val="CommentReference"/>
        </w:rPr>
        <w:annotationRef/>
      </w:r>
      <w:proofErr w:type="gramStart"/>
      <w:r>
        <w:t>insert</w:t>
      </w:r>
      <w:proofErr w:type="gramEnd"/>
      <w:r>
        <w:t xml:space="preserve"> DAtest reference</w:t>
      </w:r>
    </w:p>
  </w:comment>
  <w:comment w:id="6" w:author="Graw, Stefan H" w:date="2020-02-03T14:09:00Z" w:initials="GSH">
    <w:p w14:paraId="645CE354" w14:textId="5126E5A1" w:rsidR="00FD476E" w:rsidRDefault="00FD476E">
      <w:pPr>
        <w:pStyle w:val="CommentText"/>
        <w:rPr>
          <w:rFonts w:ascii="Segoe UI" w:hAnsi="Segoe UI" w:cs="Segoe UI"/>
          <w:color w:val="222222"/>
          <w:shd w:val="clear" w:color="auto" w:fill="FFFFFF"/>
        </w:rPr>
      </w:pPr>
      <w:r>
        <w:rPr>
          <w:rStyle w:val="CommentReference"/>
        </w:rPr>
        <w:annotationRef/>
      </w:r>
      <w:proofErr w:type="spellStart"/>
      <w:r>
        <w:rPr>
          <w:rFonts w:ascii="Segoe UI" w:hAnsi="Segoe UI" w:cs="Segoe UI"/>
          <w:color w:val="222222"/>
          <w:shd w:val="clear" w:color="auto" w:fill="FFFFFF"/>
        </w:rPr>
        <w:t>Tyanova</w:t>
      </w:r>
      <w:proofErr w:type="spellEnd"/>
      <w:r>
        <w:rPr>
          <w:rFonts w:ascii="Segoe UI" w:hAnsi="Segoe UI" w:cs="Segoe UI"/>
          <w:color w:val="222222"/>
          <w:shd w:val="clear" w:color="auto" w:fill="FFFFFF"/>
        </w:rPr>
        <w:t xml:space="preserve">, S., </w:t>
      </w:r>
      <w:proofErr w:type="spellStart"/>
      <w:r>
        <w:rPr>
          <w:rFonts w:ascii="Segoe UI" w:hAnsi="Segoe UI" w:cs="Segoe UI"/>
          <w:color w:val="222222"/>
          <w:shd w:val="clear" w:color="auto" w:fill="FFFFFF"/>
        </w:rPr>
        <w:t>Temu</w:t>
      </w:r>
      <w:proofErr w:type="spellEnd"/>
      <w:r>
        <w:rPr>
          <w:rFonts w:ascii="Segoe UI" w:hAnsi="Segoe UI" w:cs="Segoe UI"/>
          <w:color w:val="222222"/>
          <w:shd w:val="clear" w:color="auto" w:fill="FFFFFF"/>
        </w:rPr>
        <w:t>, T. &amp; Cox, J. The MaxQuant computational platform for mass spectrometry-based shotgun proteomics.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Protoc</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11, </w:t>
      </w:r>
      <w:r>
        <w:rPr>
          <w:rFonts w:ascii="Segoe UI" w:hAnsi="Segoe UI" w:cs="Segoe UI"/>
          <w:color w:val="222222"/>
          <w:shd w:val="clear" w:color="auto" w:fill="FFFFFF"/>
        </w:rPr>
        <w:t xml:space="preserve">2301–2319 (2016). </w:t>
      </w:r>
      <w:hyperlink r:id="rId6" w:history="1">
        <w:r w:rsidRPr="00D5203A">
          <w:rPr>
            <w:rStyle w:val="Hyperlink"/>
            <w:rFonts w:ascii="Segoe UI" w:hAnsi="Segoe UI" w:cs="Segoe UI"/>
            <w:shd w:val="clear" w:color="auto" w:fill="FFFFFF"/>
          </w:rPr>
          <w:t>https://doi.org/10.1038/nprot.2016.136</w:t>
        </w:r>
      </w:hyperlink>
    </w:p>
    <w:p w14:paraId="48BFC6F3" w14:textId="460DC901" w:rsidR="00FD476E" w:rsidRDefault="00FD476E">
      <w:pPr>
        <w:pStyle w:val="CommentText"/>
        <w:rPr>
          <w:rFonts w:ascii="Segoe UI" w:hAnsi="Segoe UI" w:cs="Segoe UI"/>
          <w:color w:val="222222"/>
          <w:shd w:val="clear" w:color="auto" w:fill="FFFFFF"/>
        </w:rPr>
      </w:pPr>
    </w:p>
    <w:p w14:paraId="19E50B6D" w14:textId="4814DE7A" w:rsidR="00FD476E" w:rsidRDefault="004A1C97">
      <w:pPr>
        <w:pStyle w:val="CommentText"/>
      </w:pPr>
      <w:hyperlink r:id="rId7" w:anchor="citeas" w:history="1">
        <w:r w:rsidR="00FD476E">
          <w:rPr>
            <w:rStyle w:val="Hyperlink"/>
          </w:rPr>
          <w:t>https://www.nature.com/articles/nprot.2016.136#citeas</w:t>
        </w:r>
      </w:hyperlink>
    </w:p>
  </w:comment>
  <w:comment w:id="7" w:author="Graw, Stefan H" w:date="2020-02-03T15:40:00Z" w:initials="GSH">
    <w:p w14:paraId="58E574D4" w14:textId="1CBF9034" w:rsidR="00CC11D5" w:rsidRDefault="00CC11D5">
      <w:pPr>
        <w:pStyle w:val="CommentText"/>
      </w:pPr>
      <w:r>
        <w:rPr>
          <w:rStyle w:val="CommentReference"/>
        </w:rPr>
        <w:annotationRef/>
      </w:r>
      <w:r>
        <w:t>Need to reference/describe NA heatmap</w:t>
      </w:r>
    </w:p>
  </w:comment>
  <w:comment w:id="9"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69B4329E" w15:done="0"/>
  <w15:commentEx w15:paraId="7407FBE6" w15:done="0"/>
  <w15:commentEx w15:paraId="0CF744F0" w15:done="0"/>
  <w15:commentEx w15:paraId="19E50B6D" w15:done="0"/>
  <w15:commentEx w15:paraId="58E574D4" w15:done="0"/>
  <w15:commentEx w15:paraId="75071C1B"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BE390" w14:textId="77777777" w:rsidR="004A1C97" w:rsidRDefault="004A1C97">
      <w:r>
        <w:separator/>
      </w:r>
    </w:p>
  </w:endnote>
  <w:endnote w:type="continuationSeparator" w:id="0">
    <w:p w14:paraId="0C6B97AB" w14:textId="77777777" w:rsidR="004A1C97" w:rsidRDefault="004A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37847244"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4420">
      <w:rPr>
        <w:rStyle w:val="PageNumber"/>
        <w:noProof/>
      </w:rPr>
      <w:t>8</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5EF23" w14:textId="77777777" w:rsidR="004A1C97" w:rsidRDefault="004A1C97">
      <w:r>
        <w:separator/>
      </w:r>
    </w:p>
  </w:footnote>
  <w:footnote w:type="continuationSeparator" w:id="0">
    <w:p w14:paraId="2F3037F2" w14:textId="77777777" w:rsidR="004A1C97" w:rsidRDefault="004A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0D1DAE"/>
    <w:rsid w:val="00103397"/>
    <w:rsid w:val="00111D9F"/>
    <w:rsid w:val="00121CB5"/>
    <w:rsid w:val="00155231"/>
    <w:rsid w:val="0016145A"/>
    <w:rsid w:val="00162828"/>
    <w:rsid w:val="00164635"/>
    <w:rsid w:val="00195ACA"/>
    <w:rsid w:val="001A7A90"/>
    <w:rsid w:val="001B1113"/>
    <w:rsid w:val="001F6A08"/>
    <w:rsid w:val="00207ECD"/>
    <w:rsid w:val="00212B1D"/>
    <w:rsid w:val="00240BAD"/>
    <w:rsid w:val="00242C64"/>
    <w:rsid w:val="002630B7"/>
    <w:rsid w:val="0026438B"/>
    <w:rsid w:val="00266549"/>
    <w:rsid w:val="00271A02"/>
    <w:rsid w:val="00273587"/>
    <w:rsid w:val="002A7493"/>
    <w:rsid w:val="002C3431"/>
    <w:rsid w:val="002C6F82"/>
    <w:rsid w:val="0031076B"/>
    <w:rsid w:val="00311A3B"/>
    <w:rsid w:val="0031373B"/>
    <w:rsid w:val="00324128"/>
    <w:rsid w:val="00324420"/>
    <w:rsid w:val="00334AED"/>
    <w:rsid w:val="00342944"/>
    <w:rsid w:val="00360B3D"/>
    <w:rsid w:val="00361E35"/>
    <w:rsid w:val="003664E9"/>
    <w:rsid w:val="003679A1"/>
    <w:rsid w:val="003A42F0"/>
    <w:rsid w:val="003B4AF3"/>
    <w:rsid w:val="003B4DF6"/>
    <w:rsid w:val="003E0740"/>
    <w:rsid w:val="003E1F76"/>
    <w:rsid w:val="0040540C"/>
    <w:rsid w:val="00405542"/>
    <w:rsid w:val="004554FB"/>
    <w:rsid w:val="00472691"/>
    <w:rsid w:val="00475FD2"/>
    <w:rsid w:val="004817F6"/>
    <w:rsid w:val="00486034"/>
    <w:rsid w:val="004A1C97"/>
    <w:rsid w:val="004B0E36"/>
    <w:rsid w:val="004B224D"/>
    <w:rsid w:val="004C3E30"/>
    <w:rsid w:val="004E283C"/>
    <w:rsid w:val="004E7185"/>
    <w:rsid w:val="00501AC9"/>
    <w:rsid w:val="0050511E"/>
    <w:rsid w:val="00516310"/>
    <w:rsid w:val="00534D38"/>
    <w:rsid w:val="005553EF"/>
    <w:rsid w:val="00556B4C"/>
    <w:rsid w:val="005665C4"/>
    <w:rsid w:val="00567E81"/>
    <w:rsid w:val="00591A57"/>
    <w:rsid w:val="00597466"/>
    <w:rsid w:val="005A4E38"/>
    <w:rsid w:val="005B372F"/>
    <w:rsid w:val="005B6B44"/>
    <w:rsid w:val="005D0C10"/>
    <w:rsid w:val="005D2E75"/>
    <w:rsid w:val="005E1FBC"/>
    <w:rsid w:val="005E71B3"/>
    <w:rsid w:val="00633267"/>
    <w:rsid w:val="00634984"/>
    <w:rsid w:val="00643614"/>
    <w:rsid w:val="006455A5"/>
    <w:rsid w:val="006561D8"/>
    <w:rsid w:val="00675661"/>
    <w:rsid w:val="00683131"/>
    <w:rsid w:val="00695280"/>
    <w:rsid w:val="006A053E"/>
    <w:rsid w:val="006A3E34"/>
    <w:rsid w:val="006B2581"/>
    <w:rsid w:val="006C522D"/>
    <w:rsid w:val="007000D9"/>
    <w:rsid w:val="007062A4"/>
    <w:rsid w:val="0071174B"/>
    <w:rsid w:val="00747701"/>
    <w:rsid w:val="007534B9"/>
    <w:rsid w:val="007629D3"/>
    <w:rsid w:val="0078533C"/>
    <w:rsid w:val="00794616"/>
    <w:rsid w:val="00795747"/>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350D"/>
    <w:rsid w:val="008C6EEB"/>
    <w:rsid w:val="008D30F9"/>
    <w:rsid w:val="008D53B2"/>
    <w:rsid w:val="008E3A29"/>
    <w:rsid w:val="00911042"/>
    <w:rsid w:val="00912169"/>
    <w:rsid w:val="0092037A"/>
    <w:rsid w:val="009246AD"/>
    <w:rsid w:val="00987683"/>
    <w:rsid w:val="00993777"/>
    <w:rsid w:val="009F2E7E"/>
    <w:rsid w:val="00A003F2"/>
    <w:rsid w:val="00A02D62"/>
    <w:rsid w:val="00A11C15"/>
    <w:rsid w:val="00A20E38"/>
    <w:rsid w:val="00A20EB5"/>
    <w:rsid w:val="00A51BD2"/>
    <w:rsid w:val="00A549F1"/>
    <w:rsid w:val="00A764EF"/>
    <w:rsid w:val="00A933E2"/>
    <w:rsid w:val="00A95028"/>
    <w:rsid w:val="00AA501A"/>
    <w:rsid w:val="00AB34C5"/>
    <w:rsid w:val="00AC5467"/>
    <w:rsid w:val="00AF4F6D"/>
    <w:rsid w:val="00AF7F6A"/>
    <w:rsid w:val="00B05A88"/>
    <w:rsid w:val="00B324D0"/>
    <w:rsid w:val="00B44641"/>
    <w:rsid w:val="00B7306A"/>
    <w:rsid w:val="00B7618D"/>
    <w:rsid w:val="00B92A27"/>
    <w:rsid w:val="00BA27E7"/>
    <w:rsid w:val="00BB5CC0"/>
    <w:rsid w:val="00BC0548"/>
    <w:rsid w:val="00BC0C6A"/>
    <w:rsid w:val="00BD2C44"/>
    <w:rsid w:val="00BE2B48"/>
    <w:rsid w:val="00C03C1E"/>
    <w:rsid w:val="00C10EE0"/>
    <w:rsid w:val="00C12556"/>
    <w:rsid w:val="00C164B8"/>
    <w:rsid w:val="00C6170A"/>
    <w:rsid w:val="00C739C4"/>
    <w:rsid w:val="00CA041A"/>
    <w:rsid w:val="00CC11D5"/>
    <w:rsid w:val="00CD7653"/>
    <w:rsid w:val="00CE7B50"/>
    <w:rsid w:val="00CF1840"/>
    <w:rsid w:val="00D07045"/>
    <w:rsid w:val="00D22B0F"/>
    <w:rsid w:val="00D318E5"/>
    <w:rsid w:val="00D32E24"/>
    <w:rsid w:val="00D364A1"/>
    <w:rsid w:val="00D520FE"/>
    <w:rsid w:val="00D721E2"/>
    <w:rsid w:val="00D73446"/>
    <w:rsid w:val="00D90DA6"/>
    <w:rsid w:val="00D97594"/>
    <w:rsid w:val="00DA791B"/>
    <w:rsid w:val="00DB45A3"/>
    <w:rsid w:val="00DC7186"/>
    <w:rsid w:val="00DD67A1"/>
    <w:rsid w:val="00DD6DBB"/>
    <w:rsid w:val="00DE4FF6"/>
    <w:rsid w:val="00E02011"/>
    <w:rsid w:val="00E074F2"/>
    <w:rsid w:val="00E27038"/>
    <w:rsid w:val="00E91482"/>
    <w:rsid w:val="00E96302"/>
    <w:rsid w:val="00ED1205"/>
    <w:rsid w:val="00F03166"/>
    <w:rsid w:val="00F134F5"/>
    <w:rsid w:val="00F17CC2"/>
    <w:rsid w:val="00F46A30"/>
    <w:rsid w:val="00F47B85"/>
    <w:rsid w:val="00F54BDD"/>
    <w:rsid w:val="00F5645C"/>
    <w:rsid w:val="00F751B7"/>
    <w:rsid w:val="00F82C2D"/>
    <w:rsid w:val="00F8527D"/>
    <w:rsid w:val="00FD476E"/>
    <w:rsid w:val="00FD78B7"/>
    <w:rsid w:val="00FE3820"/>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term=Li%20GZ%5BAuthor%5D&amp;cauthor=true&amp;cauthor_uid=16219938" TargetMode="External"/><Relationship Id="rId7" Type="http://schemas.openxmlformats.org/officeDocument/2006/relationships/hyperlink" Target="https://www.nature.com/articles/nprot.2016.136" TargetMode="External"/><Relationship Id="rId2" Type="http://schemas.openxmlformats.org/officeDocument/2006/relationships/hyperlink" Target="https://www.ncbi.nlm.nih.gov/pubmed/?term=Gorenstein%20MV%5BAuthor%5D&amp;cauthor=true&amp;cauthor_uid=16219938" TargetMode="External"/><Relationship Id="rId1" Type="http://schemas.openxmlformats.org/officeDocument/2006/relationships/hyperlink" Target="https://www.ncbi.nlm.nih.gov/pubmed/?term=Silva%20JC%5BAuthor%5D&amp;cauthor=true&amp;cauthor_uid=16219938" TargetMode="External"/><Relationship Id="rId6" Type="http://schemas.openxmlformats.org/officeDocument/2006/relationships/hyperlink" Target="https://doi.org/10.1038/nprot.2016.136" TargetMode="External"/><Relationship Id="rId5" Type="http://schemas.openxmlformats.org/officeDocument/2006/relationships/hyperlink" Target="https://www.ncbi.nlm.nih.gov/pubmed/?term=Geromanos%20SJ%5BAuthor%5D&amp;cauthor=true&amp;cauthor_uid=16219938" TargetMode="External"/><Relationship Id="rId4" Type="http://schemas.openxmlformats.org/officeDocument/2006/relationships/hyperlink" Target="https://www.ncbi.nlm.nih.gov/pubmed/?term=Vissers%20JP%5BAuthor%5D&amp;cauthor=true&amp;cauthor_uid=1621993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yrumLab/proteiNor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project.org"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F01D3-FB45-4C4D-B744-219252A5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153</TotalTime>
  <Pages>12</Pages>
  <Words>4895</Words>
  <Characters>27908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32738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6</cp:revision>
  <cp:lastPrinted>2008-06-11T21:33:00Z</cp:lastPrinted>
  <dcterms:created xsi:type="dcterms:W3CDTF">2020-02-26T19:09:00Z</dcterms:created>
  <dcterms:modified xsi:type="dcterms:W3CDTF">2020-02-26T21:41:00Z</dcterms:modified>
</cp:coreProperties>
</file>