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sz w:val="32"/>
          <w:szCs w:val="32"/>
        </w:rPr>
        <w:t xml:space="preserve">A Multimodal Knowledge Graph for Industrial Equipment Fault Diagnosis and Maintenance Documentation</w:t>
      </w:r>
    </w:p>
    <w:p>
      <w:pPr>
        <w:spacing w:after="200" w:before="400"/>
        <w:jc w:val="center"/>
      </w:pPr>
      <w:r>
        <w:rPr>
          <w:rFonts w:ascii="Times New Roman" w:cs="Times New Roman" w:eastAsia="Times New Roman" w:hAnsi="Times New Roman"/>
          <w:sz w:val="26"/>
          <w:szCs w:val="26"/>
        </w:rPr>
        <w:t xml:space="preserve">Krishna</w:t>
      </w:r>
    </w:p>
    <w:p>
      <w:pPr>
        <w:spacing w:after="100"/>
        <w:jc w:val="center"/>
      </w:pPr>
      <w:r>
        <w:rPr>
          <w:rFonts w:ascii="Times New Roman" w:cs="Times New Roman" w:eastAsia="Times New Roman" w:hAnsi="Times New Roman"/>
          <w:sz w:val="22"/>
          <w:szCs w:val="22"/>
        </w:rPr>
        <w:t xml:space="preserve">Department of Computer Science and Engineering (M.Tech. Integrated Programme)</w:t>
      </w:r>
    </w:p>
    <w:p>
      <w:pPr>
        <w:spacing w:after="100"/>
        <w:jc w:val="center"/>
      </w:pPr>
      <w:r>
        <w:rPr>
          <w:rFonts w:ascii="Times New Roman" w:cs="Times New Roman" w:eastAsia="Times New Roman" w:hAnsi="Times New Roman"/>
          <w:sz w:val="22"/>
          <w:szCs w:val="22"/>
        </w:rPr>
        <w:t xml:space="preserve">Sri Sairam Engineering College, West Tambaram, Chennai</w:t>
      </w:r>
    </w:p>
    <w:p>
      <w:pPr>
        <w:spacing w:after="600"/>
        <w:jc w:val="center"/>
      </w:pPr>
      <w:r>
        <w:rPr>
          <w:rFonts w:ascii="Times New Roman" w:cs="Times New Roman" w:eastAsia="Times New Roman" w:hAnsi="Times New Roman"/>
          <w:i/>
          <w:iCs/>
          <w:sz w:val="22"/>
          <w:szCs w:val="22"/>
        </w:rPr>
        <w:t xml:space="preserve">Guide: Ms. V Saranya</w:t>
      </w:r>
    </w:p>
    <w:p>
      <w:r>
        <w:br w:type="page"/>
      </w:r>
    </w:p>
    <w:p>
      <w:pPr>
        <w:pStyle w:val="Heading1"/>
        <w:spacing w:after="160" w:before="32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Industrial equipment documentation, spanning manuals, maintenance logs, engineering schematics, and inspection records, forms a heterogeneous and technically dense knowledge base that maintenance engineers must interpret quickly and correctly. Recent advances in Retrieval-Augmented Generation (RAG) allow large language models (LLMs) to answer natural-language questions grounded in such documents, but existing multi-modal RAG systems retrieve information as independent, similarity-ranked chunks, which limits their ability to answer multi-hop, causal, or relational maintenance questions that require chaining facts across multiple documents. This paper surveys the current state of retrieval-augmented and knowledge-graph-based question answering for industrial and manufacturing domains, identifies a specific research gap in the literature, and proposes a methodology to address it. The proposed system extends a multi-modal RAG baseline with a knowledge-graph construction pipeline built on schema-constrained LLM-based entity and relation extraction, entity resolution, and graph storage, a query-time retrieval router that combines vector similarity search with graph traversal, and a Human-in-the-Loop (HITL) verification layer that allows domain experts to correct extracted facts. Twenty-two related works are reviewed across retrieval-augmented generation, graph-based retrieval, knowledge graph construction, and knowledge-graph-driven industrial fault diagnosis. The paper defines the precise research gap, describes the proposed methodology, and specifies the technology stack, tools, and algorithms selected for implementation.</w:t>
      </w:r>
    </w:p>
    <w:p>
      <w:pPr>
        <w:spacing w:after="200" w:line="360"/>
        <w:jc w:val="both"/>
      </w:pPr>
      <w:r>
        <w:rPr>
          <w:rFonts w:ascii="Times New Roman" w:cs="Times New Roman" w:eastAsia="Times New Roman" w:hAnsi="Times New Roman"/>
          <w:b w:val="false"/>
          <w:bCs w:val="false"/>
          <w:i/>
          <w:iCs/>
          <w:sz w:val="24"/>
          <w:szCs w:val="24"/>
        </w:rPr>
        <w:t xml:space="preserve">Index Terms: Retrieval-Augmented Generation, Knowledge Graph, Human-in-the-Loop, Multi-modal Question Answering, Industrial Fault Diagnosis, Large Language Models</w:t>
      </w:r>
    </w:p>
    <w:p>
      <w:pPr>
        <w:pStyle w:val="Heading1"/>
        <w:spacing w:after="160" w:before="32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Industrial equipment such as centrifugal pumps is supported by a large and heterogeneous body of documentation: operation and maintenance manuals, piping and instrumentation diagrams (P&amp;IDs), maintenance logs, inspection reports, and equipment specification sheets. When a fault occurs, a maintenance engineer must search across these documents, which differ in structure, format, and modality, to determine what changed, what failed, and what corrective action is required. This manual investigation is slow, error-prone, and increasingly impractical as documentation volume grows and experienced personnel retire, taking tacit diagnostic knowledge with them.</w:t>
      </w:r>
    </w:p>
    <w:p>
      <w:pPr>
        <w:spacing w:after="200" w:line="360"/>
        <w:jc w:val="both"/>
      </w:pPr>
      <w:r>
        <w:rPr>
          <w:rFonts w:ascii="Times New Roman" w:cs="Times New Roman" w:eastAsia="Times New Roman" w:hAnsi="Times New Roman"/>
          <w:b w:val="false"/>
          <w:bCs w:val="false"/>
          <w:i w:val="false"/>
          <w:iCs w:val="false"/>
          <w:sz w:val="24"/>
          <w:szCs w:val="24"/>
        </w:rPr>
        <w:t xml:space="preserve">Large Language Models (LLMs) offer a natural interface for querying such documentation in plain language, but LLMs alone are prone to hallucination, generating plausible but factually incorrect answers when they lack grounding in the source material [9]. Retrieval-Augmented Generation (RAG) addresses this by retrieving relevant passages from an external knowledge source and conditioning the LLM's answer on that retrieved context [1]. RAG has since become the dominant paradigm for building domain-grounded question answering systems, and has been extended with survey-level treatments covering naive, advanced, and modular RAG architectures [3], agentic reasoning-and-acting loops that let a model decide when and what to retrieve [4], and multi-modal variants capable of handling text, tables, formulas, and images together, as demonstrated for the manufacturing domain by ManuRAG [12].</w:t>
      </w:r>
    </w:p>
    <w:p>
      <w:pPr>
        <w:spacing w:after="200" w:line="360"/>
        <w:jc w:val="both"/>
      </w:pPr>
      <w:r>
        <w:rPr>
          <w:rFonts w:ascii="Times New Roman" w:cs="Times New Roman" w:eastAsia="Times New Roman" w:hAnsi="Times New Roman"/>
          <w:b w:val="false"/>
          <w:bCs w:val="false"/>
          <w:i w:val="false"/>
          <w:iCs w:val="false"/>
          <w:sz w:val="24"/>
          <w:szCs w:val="24"/>
        </w:rPr>
        <w:t xml:space="preserve">Despite this progress, conventional RAG systems retrieve information as independent chunks ranked purely by embedding similarity to the query. This works well for single-fact lookup questions but breaks down for multi-hop, causal, or relational questions, where the correct answer requires chaining facts that are scattered across multiple, differently worded documents. ManuRAG's own reported results illustrate this limitation directly: its best-performing variant achieves 87.6% factual correctness on multiple-choice questions but only 45.75% on review and reasoning-type questions, its weakest category, precisely because such questions require connecting facts that similarity search retrieves independently rather than as a connected chain [12].</w:t>
      </w:r>
    </w:p>
    <w:p>
      <w:pPr>
        <w:spacing w:after="200" w:line="360"/>
        <w:jc w:val="both"/>
      </w:pPr>
      <w:r>
        <w:rPr>
          <w:rFonts w:ascii="Times New Roman" w:cs="Times New Roman" w:eastAsia="Times New Roman" w:hAnsi="Times New Roman"/>
          <w:b w:val="false"/>
          <w:bCs w:val="false"/>
          <w:i w:val="false"/>
          <w:iCs w:val="false"/>
          <w:sz w:val="24"/>
          <w:szCs w:val="24"/>
        </w:rPr>
        <w:t xml:space="preserve">Knowledge graphs (KGs) offer a complementary retrieval mechanism: instead of storing information as loosely related text chunks, a KG stores explicit entities and the relationships between them, enabling multi-hop traversal that recovers a full causal chain even when the wording along that chain shares little vocabulary overlap. Graph-based retrieval-augmented generation, most notably Microsoft's GraphRAG, has demonstrated substantial improvements over vector-only RAG on global, sensemaking questions over large text corpora [2], and a growing body of work has begun applying LLMs directly to the task of knowledge graph construction from unstructured text, reducing the need for hand-labeled training data required by earlier extraction pipelines [21], [22]. In parallel, several recent works have applied joint knowledge-graph-and-LLM architectures specifically to industrial fault diagnosis, reporting substantial diagnostic accuracy gains over text-only baselines in domains such as aviation assembly and CNC machining [16], [17], [18].</w:t>
      </w:r>
    </w:p>
    <w:p>
      <w:pPr>
        <w:spacing w:after="200" w:line="360"/>
        <w:jc w:val="both"/>
      </w:pPr>
      <w:r>
        <w:rPr>
          <w:rFonts w:ascii="Times New Roman" w:cs="Times New Roman" w:eastAsia="Times New Roman" w:hAnsi="Times New Roman"/>
          <w:b w:val="false"/>
          <w:bCs w:val="false"/>
          <w:i w:val="false"/>
          <w:iCs w:val="false"/>
          <w:sz w:val="24"/>
          <w:szCs w:val="24"/>
        </w:rPr>
        <w:t xml:space="preserve">However, none of the systems reviewed in this paper combine multi-modal retrieval-augmented generation, a knowledge graph constructed from both textual documentation and vision-parsed engineering diagrams such as P&amp;IDs, and a human-in-the-loop correction mechanism that measurably improves factual correctness over successive correction cycles, evaluated specifically on centrifugal pump fault diagnosis and maintenance documentation. This paper reviews the relevant literature, precisely defines this gap, and proposes a methodology, technology stack, and algorithmic approach to address it.</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paper is organized as follows. Section 2 presents a literature survey of twenty-two related works across retrieval-augmented generation, graph-based retrieval, knowledge graph construction, and knowledge-graph-driven industrial fault diagnosis. Section 3 synthesizes this literature into a precisely defined research gap. Section 4 describes the proposed methodology. Section 5 specifies the technology stack, tools, and algorithms selected for implementation. Section 6 lists the references cited throughout the paper.</w:t>
      </w:r>
    </w:p>
    <w:p>
      <w:r>
        <w:br w:type="page"/>
      </w:r>
    </w:p>
    <w:p>
      <w:pPr>
        <w:pStyle w:val="Heading1"/>
        <w:spacing w:after="160" w:before="320"/>
      </w:pPr>
      <w:r>
        <w:rPr>
          <w:rFonts w:ascii="Times New Roman" w:cs="Times New Roman" w:eastAsia="Times New Roman" w:hAnsi="Times New Roman"/>
          <w:b/>
          <w:bCs/>
          <w:sz w:val="28"/>
          <w:szCs w:val="28"/>
        </w:rPr>
        <w:t xml:space="preserve">2. Literature Survey</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reviews twenty-two works spanning six thematic areas relevant to the proposed system: foundational retrieval-augmented generation, graph-based retrieval-augmented generation, multi-modal and manufacturing-domain RAG, LLM-based knowledge graph construction, knowledge-graph-and-LLM-driven industrial fault diagnosis, and supporting infrastructure for retrieval, reliability, and human oversight.</w:t>
      </w:r>
    </w:p>
    <w:p>
      <w:pPr>
        <w:pStyle w:val="Heading2"/>
        <w:spacing w:after="160" w:before="320"/>
      </w:pPr>
      <w:r>
        <w:rPr>
          <w:rFonts w:ascii="Times New Roman" w:cs="Times New Roman" w:eastAsia="Times New Roman" w:hAnsi="Times New Roman"/>
          <w:b/>
          <w:bCs/>
          <w:sz w:val="24"/>
          <w:szCs w:val="24"/>
        </w:rPr>
        <w:t xml:space="preserve">2.1 Foundational Retrieval-Augmented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Lewis et al. [1] introduced Retrieval-Augmented Generation, combining a pre-trained parametric sequence-to-sequence generator with a non-parametric dense vector index retrieved via Maximum Inner Product Search. The model was fine-tuned end-to-end on open-domain question answering tasks and shown to produce more specific, diverse, and factual outputs than a purely parametric baseline, establishing the paradigm underlying nearly all subsequent RAG systems, including the one proposed in this paper.</w:t>
      </w:r>
    </w:p>
    <w:p>
      <w:pPr>
        <w:spacing w:after="200" w:line="360"/>
        <w:jc w:val="both"/>
      </w:pPr>
      <w:r>
        <w:rPr>
          <w:rFonts w:ascii="Times New Roman" w:cs="Times New Roman" w:eastAsia="Times New Roman" w:hAnsi="Times New Roman"/>
          <w:b w:val="false"/>
          <w:bCs w:val="false"/>
          <w:i w:val="false"/>
          <w:iCs w:val="false"/>
          <w:sz w:val="24"/>
          <w:szCs w:val="24"/>
        </w:rPr>
        <w:t xml:space="preserve">Gao et al. [3] provide a comprehensive survey of the RAG paradigm, organizing the field into Naive RAG, Advanced RAG, and Modular RAG categories and examining the retrieval, generation, and augmentation components of typical RAG pipelines. This survey is used in the present work to situate the proposed hybrid vector-and-graph retrieval router within the broader Modular RAG category.</w:t>
      </w:r>
    </w:p>
    <w:p>
      <w:pPr>
        <w:spacing w:after="200" w:line="360"/>
        <w:jc w:val="both"/>
      </w:pPr>
      <w:r>
        <w:rPr>
          <w:rFonts w:ascii="Times New Roman" w:cs="Times New Roman" w:eastAsia="Times New Roman" w:hAnsi="Times New Roman"/>
          <w:b w:val="false"/>
          <w:bCs w:val="false"/>
          <w:i w:val="false"/>
          <w:iCs w:val="false"/>
          <w:sz w:val="24"/>
          <w:szCs w:val="24"/>
        </w:rPr>
        <w:t xml:space="preserve">Yao et al. [4] proposed ReAct, a prompting framework that interleaves reasoning traces with executable actions, allowing an LLM to decide when to invoke an external tool or retrieval step rather than retrieving once at the start of generation. ReAct-style agent loops underpin the query-time retrieval routing and multi-step investigation behaviour used in the proposed system's retrieval router.</w:t>
      </w:r>
    </w:p>
    <w:p>
      <w:pPr>
        <w:pStyle w:val="Heading2"/>
        <w:spacing w:after="160" w:before="320"/>
      </w:pPr>
      <w:r>
        <w:rPr>
          <w:rFonts w:ascii="Times New Roman" w:cs="Times New Roman" w:eastAsia="Times New Roman" w:hAnsi="Times New Roman"/>
          <w:b/>
          <w:bCs/>
          <w:sz w:val="24"/>
          <w:szCs w:val="24"/>
        </w:rPr>
        <w:t xml:space="preserve">2.2 Graph-Based Retrieval-Augmented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Edge et al. [2], published by Microsoft Research, proposed GraphRAG, which builds an entity knowledge graph from source documents and pre-generates hierarchical community summaries, enabling query-focused summarization over global, corpus-wide questions that conventional vector RAG cannot answer. Evaluated on podcast transcript and news article corpora, GraphRAG achieved 72 to 83 percent comprehensiveness win rates over vector RAG. This paper is the foundational reference for the knowledge-graph-augmented retrieval path proposed in the present system, though GraphRAG targets general-domain global summarization rather than domain-specific, multi-hop factual question answering.</w:t>
      </w:r>
    </w:p>
    <w:p>
      <w:pPr>
        <w:spacing w:after="200" w:line="360"/>
        <w:jc w:val="both"/>
      </w:pPr>
      <w:r>
        <w:rPr>
          <w:rFonts w:ascii="Times New Roman" w:cs="Times New Roman" w:eastAsia="Times New Roman" w:hAnsi="Times New Roman"/>
          <w:b w:val="false"/>
          <w:bCs w:val="false"/>
          <w:i w:val="false"/>
          <w:iCs w:val="false"/>
          <w:sz w:val="24"/>
          <w:szCs w:val="24"/>
        </w:rPr>
        <w:t xml:space="preserve">Pan et al. [10] present a roadmap for unifying large language models and knowledge graphs, categorizing integration strategies into KG-enhanced LLMs, LLM-augmented KGs, and synergized approaches where both components reason jointly. This roadmap informs the architectural decision in the proposed system to run vector and graph retrieval as parallel, synergized paths merged before answer generation, rather than treating the knowledge graph as a subordinate component.</w:t>
      </w:r>
    </w:p>
    <w:p>
      <w:pPr>
        <w:spacing w:after="200" w:line="360"/>
        <w:jc w:val="both"/>
      </w:pPr>
      <w:r>
        <w:rPr>
          <w:rFonts w:ascii="Times New Roman" w:cs="Times New Roman" w:eastAsia="Times New Roman" w:hAnsi="Times New Roman"/>
          <w:b w:val="false"/>
          <w:bCs w:val="false"/>
          <w:i w:val="false"/>
          <w:iCs w:val="false"/>
          <w:sz w:val="24"/>
          <w:szCs w:val="24"/>
        </w:rPr>
        <w:t xml:space="preserve">Ji et al. [11] survey knowledge graph representation, acquisition, and application techniques broadly, covering embedding methods, relation extraction, and downstream applications such as question answering and recommendation. This survey provides the foundational vocabulary and design-space overview used throughout the proposed methodology's knowledge graph construction stage.</w:t>
      </w:r>
    </w:p>
    <w:p>
      <w:pPr>
        <w:pStyle w:val="Heading2"/>
        <w:spacing w:after="160" w:before="320"/>
      </w:pPr>
      <w:r>
        <w:rPr>
          <w:rFonts w:ascii="Times New Roman" w:cs="Times New Roman" w:eastAsia="Times New Roman" w:hAnsi="Times New Roman"/>
          <w:b/>
          <w:bCs/>
          <w:sz w:val="24"/>
          <w:szCs w:val="24"/>
        </w:rPr>
        <w:t xml:space="preserve">2.3 Multi-Modal and Manufacturing-Domain RAG</w:t>
      </w:r>
    </w:p>
    <w:p>
      <w:pPr>
        <w:spacing w:after="200" w:line="360"/>
        <w:jc w:val="both"/>
      </w:pPr>
      <w:r>
        <w:rPr>
          <w:rFonts w:ascii="Times New Roman" w:cs="Times New Roman" w:eastAsia="Times New Roman" w:hAnsi="Times New Roman"/>
          <w:b w:val="false"/>
          <w:bCs w:val="false"/>
          <w:i w:val="false"/>
          <w:iCs w:val="false"/>
          <w:sz w:val="24"/>
          <w:szCs w:val="24"/>
        </w:rPr>
        <w:t xml:space="preserve">Li et al. [12] proposed ManuRAG, a multi-modal RAG framework for manufacturing question answering that extracts and indexes text, images, formulas, and tables from manufacturing documents, evaluated on 1,515 QA pairs. Its best-performing variant, which converts visual content to descriptive text before embedding, consistently outperformed text-only RAG, but its factual correctness fell to 45.75 percent on multi-hop review questions, and it incorporates no knowledge graph or human correction mechanism. ManuRAG serves as the core baseline architecture that the proposed system extends.</w:t>
      </w:r>
    </w:p>
    <w:p>
      <w:pPr>
        <w:spacing w:after="200" w:line="360"/>
        <w:jc w:val="both"/>
      </w:pPr>
      <w:r>
        <w:rPr>
          <w:rFonts w:ascii="Times New Roman" w:cs="Times New Roman" w:eastAsia="Times New Roman" w:hAnsi="Times New Roman"/>
          <w:b w:val="false"/>
          <w:bCs w:val="false"/>
          <w:i w:val="false"/>
          <w:iCs w:val="false"/>
          <w:sz w:val="24"/>
          <w:szCs w:val="24"/>
        </w:rPr>
        <w:t xml:space="preserve">A supporting body of work applies GraphRAG specifically to engineering diagrams: ChatP&amp;ID [13] converts standardized, smart Piping and Instrumentation Diagrams into a knowledge graph for grounded LLM querying, improving accuracy by 18 percent and reducing token cost by 85 percent relative to raw image ingestion, though it is restricted to DEXPI-formatted diagrams and includes no human verification loop. SOPRAG [14] proposes structure-aware, multi-view graph retrieval designed specifically for hierarchical, procedural industrial standard operating procedures, addressing document structure that flat chunk-based retrieval discards.</w:t>
      </w:r>
    </w:p>
    <w:p>
      <w:pPr>
        <w:spacing w:after="200" w:line="360"/>
        <w:jc w:val="both"/>
      </w:pPr>
      <w:r>
        <w:rPr>
          <w:rFonts w:ascii="Times New Roman" w:cs="Times New Roman" w:eastAsia="Times New Roman" w:hAnsi="Times New Roman"/>
          <w:b w:val="false"/>
          <w:bCs w:val="false"/>
          <w:i w:val="false"/>
          <w:iCs w:val="false"/>
          <w:sz w:val="24"/>
          <w:szCs w:val="24"/>
        </w:rPr>
        <w:t xml:space="preserve">Huang et al. [5] proposed LayoutLMv3, a multimodal transformer pre-trained with unified text and image masking objectives for Document AI, achieving state-of-the-art performance on layout-sensitive tasks such as form and receipt understanding. LayoutLMv3-style layout detection underlies the document parsing stage used to separate text, tables, and figures during ingestion in the proposed system.</w:t>
      </w:r>
    </w:p>
    <w:p>
      <w:pPr>
        <w:pStyle w:val="Heading2"/>
        <w:spacing w:after="160" w:before="320"/>
      </w:pPr>
      <w:r>
        <w:rPr>
          <w:rFonts w:ascii="Times New Roman" w:cs="Times New Roman" w:eastAsia="Times New Roman" w:hAnsi="Times New Roman"/>
          <w:b/>
          <w:bCs/>
          <w:sz w:val="24"/>
          <w:szCs w:val="24"/>
        </w:rPr>
        <w:t xml:space="preserve">2.4 LLM-Based Knowledge Graph Construction</w:t>
      </w:r>
    </w:p>
    <w:p>
      <w:pPr>
        <w:spacing w:after="200" w:line="360"/>
        <w:jc w:val="both"/>
      </w:pPr>
      <w:r>
        <w:rPr>
          <w:rFonts w:ascii="Times New Roman" w:cs="Times New Roman" w:eastAsia="Times New Roman" w:hAnsi="Times New Roman"/>
          <w:b w:val="false"/>
          <w:bCs w:val="false"/>
          <w:i w:val="false"/>
          <w:iCs w:val="false"/>
          <w:sz w:val="24"/>
          <w:szCs w:val="24"/>
        </w:rPr>
        <w:t xml:space="preserve">Zhang and Soh [21] propose Extract, Define, Canonicalize, an LLM-based framework for open knowledge graph construction that separates entity and relation extraction from schema definition and canonicalization, addressing the inconsistent relation vocabulary that naive single-pass LLM extraction tends to produce. This canonicalization step directly informs the entity resolution stage of the proposed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A recent survey on LLM-empowered knowledge graph construction [22] evaluates LLMs across entity extraction, relation extraction, event extraction, and link prediction tasks, concluding that current LLMs are more reliable as reasoning assistants than as fully autonomous few-shot extractors, motivating the inclusion of a gleaning pass and a human-in-the-loop correction layer in the proposed system rather than relying on single-pass automated extraction alone.</w:t>
      </w:r>
    </w:p>
    <w:p>
      <w:pPr>
        <w:spacing w:after="200" w:line="360"/>
        <w:jc w:val="both"/>
      </w:pPr>
      <w:r>
        <w:rPr>
          <w:rFonts w:ascii="Times New Roman" w:cs="Times New Roman" w:eastAsia="Times New Roman" w:hAnsi="Times New Roman"/>
          <w:b w:val="false"/>
          <w:bCs w:val="false"/>
          <w:i w:val="false"/>
          <w:iCs w:val="false"/>
          <w:sz w:val="24"/>
          <w:szCs w:val="24"/>
        </w:rPr>
        <w:t xml:space="preserve">A study on integrating LLMs with human-in-the-loop validation for knowledge graphs [15] demonstrates that LLMs alone are comparatively weak validators of extracted triples, but that human-LLM collaborative validation reaches human-level quality. This finding directly motivates the HITL Verification Queue proposed in the present system's architecture, where low-confidence extracted edges are routed to a domain expert before being trusted in retrieval.</w:t>
      </w:r>
    </w:p>
    <w:p>
      <w:pPr>
        <w:pStyle w:val="Heading2"/>
        <w:spacing w:after="160" w:before="320"/>
      </w:pPr>
      <w:r>
        <w:rPr>
          <w:rFonts w:ascii="Times New Roman" w:cs="Times New Roman" w:eastAsia="Times New Roman" w:hAnsi="Times New Roman"/>
          <w:b/>
          <w:bCs/>
          <w:sz w:val="24"/>
          <w:szCs w:val="24"/>
        </w:rPr>
        <w:t xml:space="preserve">2.5 Knowledge-Graph and LLM-Driven Industrial Fault Diagnosis</w:t>
      </w:r>
    </w:p>
    <w:p>
      <w:pPr>
        <w:spacing w:after="200" w:line="360"/>
        <w:jc w:val="both"/>
      </w:pPr>
      <w:r>
        <w:rPr>
          <w:rFonts w:ascii="Times New Roman" w:cs="Times New Roman" w:eastAsia="Times New Roman" w:hAnsi="Times New Roman"/>
          <w:b w:val="false"/>
          <w:bCs w:val="false"/>
          <w:i w:val="false"/>
          <w:iCs w:val="false"/>
          <w:sz w:val="24"/>
          <w:szCs w:val="24"/>
        </w:rPr>
        <w:t xml:space="preserve">The closest prior work to the system proposed in this paper combines knowledge graphs with LLMs specifically for industrial fault diagnosis. A joint knowledge graph and LLM framework for fault diagnosis in aviation assembly [16] generates knowledge subgraphs and fuses them with retrieval-augmented generation, reporting up to 98.5 percent diagnostic accuracy in practical industrial trials. A related study on aviation equipment [17] integrates improved joint entity and relation extraction with an LLM, constructing a fault knowledge graph in Neo4j from maintenance manuals and equipment logs to support multi-level fault-reason and maintenance-method queries. A further study applies a similar knowledge-graph-and-LLM fusion to CNC machine fault diagnosis [18], explicitly identifying the ineffective organization of fault knowledge and the difficulty of integrating expert knowledge with real-time data as key limitations of prior expert-system-based approaches.</w:t>
      </w:r>
    </w:p>
    <w:p>
      <w:pPr>
        <w:spacing w:after="200" w:line="360"/>
        <w:jc w:val="both"/>
      </w:pPr>
      <w:r>
        <w:rPr>
          <w:rFonts w:ascii="Times New Roman" w:cs="Times New Roman" w:eastAsia="Times New Roman" w:hAnsi="Times New Roman"/>
          <w:b w:val="false"/>
          <w:bCs w:val="false"/>
          <w:i w:val="false"/>
          <w:iCs w:val="false"/>
          <w:sz w:val="24"/>
          <w:szCs w:val="24"/>
        </w:rPr>
        <w:t xml:space="preserve">A broader review of fault diagnosis methods [19] traces the field's evolution from traditional machine learning through deep learning to LLM-fusion paradigms, and explicitly identifies the fusion of large language models, digital twins, and knowledge graphs as a key future direction, providing direct support for the architecture proposed in this paper. None of these fault-diagnosis-focused works, however, incorporate vision-parsed engineering diagrams such as P&amp;IDs into the knowledge graph, nor do they formalize a human-in-the-loop correction loop as an integrated part of the retrieval pipeline; both gaps are addressed by the methodology proposed in Section 4.</w:t>
      </w:r>
    </w:p>
    <w:p>
      <w:pPr>
        <w:pStyle w:val="Heading2"/>
        <w:spacing w:after="160" w:before="320"/>
      </w:pPr>
      <w:r>
        <w:rPr>
          <w:rFonts w:ascii="Times New Roman" w:cs="Times New Roman" w:eastAsia="Times New Roman" w:hAnsi="Times New Roman"/>
          <w:b/>
          <w:bCs/>
          <w:sz w:val="24"/>
          <w:szCs w:val="24"/>
        </w:rPr>
        <w:t xml:space="preserve">2.6 Deep Learning for Industrial Fault Diagnosis (Non-LLM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Prior to the emergence of LLM-based approaches, fault diagnosis for rotating industrial machinery relied heavily on deep learning classifiers applied to sensor and vibration data. A comprehensive review of deep learning classifiers for rotating industrial machinery fault diagnosis [7] analyzes the comparative strengths of convolutional, recurrent, and autoencoder-based architectures across data types, while a related review [8] categorizes deep-learning-based intelligent fault diagnosis research into deep belief networks, autoencoders, convolutional neural networks, recurrent neural networks, and generative adversarial networks, and identifies small-sample imbalance and cross-domain transfer as persistent open problems. These works establish that fault diagnosis has historically depended on structured sensor data rather than the unstructured textual and diagrammatic documentation targeted by the present work, underscoring the complementary, document-centric contribution of the proposed system relative to signal-based diagnosis.</w:t>
      </w:r>
    </w:p>
    <w:p>
      <w:pPr>
        <w:pStyle w:val="Heading2"/>
        <w:spacing w:after="160" w:before="320"/>
      </w:pPr>
      <w:r>
        <w:rPr>
          <w:rFonts w:ascii="Times New Roman" w:cs="Times New Roman" w:eastAsia="Times New Roman" w:hAnsi="Times New Roman"/>
          <w:b/>
          <w:bCs/>
          <w:sz w:val="24"/>
          <w:szCs w:val="24"/>
        </w:rPr>
        <w:t xml:space="preserve">2.7 Supporting Infrastructure: Retrieval, Reliability, and Human Oversight</w:t>
      </w:r>
    </w:p>
    <w:p>
      <w:pPr>
        <w:spacing w:after="200" w:line="360"/>
        <w:jc w:val="both"/>
      </w:pPr>
      <w:r>
        <w:rPr>
          <w:rFonts w:ascii="Times New Roman" w:cs="Times New Roman" w:eastAsia="Times New Roman" w:hAnsi="Times New Roman"/>
          <w:b w:val="false"/>
          <w:bCs w:val="false"/>
          <w:i w:val="false"/>
          <w:iCs w:val="false"/>
          <w:sz w:val="24"/>
          <w:szCs w:val="24"/>
        </w:rPr>
        <w:t xml:space="preserve">Malkov and Yashunin [6] proposed Hierarchical Navigable Small World (HNSW) graphs for approximate nearest neighbor search, achieving logarithmic query complexity through a multi-layer proximity graph structure. HNSW indexing underlies the vector similarity search component used by pgvector in the proposed system's vector retrieval path.</w:t>
      </w:r>
    </w:p>
    <w:p>
      <w:pPr>
        <w:spacing w:after="200" w:line="360"/>
        <w:jc w:val="both"/>
      </w:pPr>
      <w:r>
        <w:rPr>
          <w:rFonts w:ascii="Times New Roman" w:cs="Times New Roman" w:eastAsia="Times New Roman" w:hAnsi="Times New Roman"/>
          <w:b w:val="false"/>
          <w:bCs w:val="false"/>
          <w:i w:val="false"/>
          <w:iCs w:val="false"/>
          <w:sz w:val="24"/>
          <w:szCs w:val="24"/>
        </w:rPr>
        <w:t xml:space="preserve">Huang et al. [9] survey hallucination in large language models, proposing a taxonomy of hallucination types and reviewing detection and mitigation methods, while noting that retrieval-augmented approaches remain limited in fully resolving hallucination when retrieval itself is incomplete or fragmented. This survey motivates the paper's emphasis on graph-based retrieval and human correction as complementary mitigations beyond retrieval alone.</w:t>
      </w:r>
    </w:p>
    <w:p>
      <w:pPr>
        <w:spacing w:after="200" w:line="360"/>
        <w:jc w:val="both"/>
      </w:pPr>
      <w:r>
        <w:rPr>
          <w:rFonts w:ascii="Times New Roman" w:cs="Times New Roman" w:eastAsia="Times New Roman" w:hAnsi="Times New Roman"/>
          <w:b w:val="false"/>
          <w:bCs w:val="false"/>
          <w:i w:val="false"/>
          <w:iCs w:val="false"/>
          <w:sz w:val="24"/>
          <w:szCs w:val="24"/>
        </w:rPr>
        <w:t xml:space="preserve">Wu et al. [20] survey human-in-the-loop machine learning, classifying approaches by how human input improves data processing, model training, and system design, and noting that integrating domain expert knowledge remains essential where automated learning cannot substitute for human judgment. This survey provides the broader methodological grounding for the HITL Verification Queue proposed as a core architectural component in Section 4.</w:t>
      </w:r>
    </w:p>
    <w:p>
      <w:r>
        <w:br w:type="page"/>
      </w:r>
    </w:p>
    <w:p>
      <w:pPr>
        <w:pStyle w:val="Heading1"/>
        <w:spacing w:after="160" w:before="320"/>
      </w:pPr>
      <w:r>
        <w:rPr>
          <w:rFonts w:ascii="Times New Roman" w:cs="Times New Roman" w:eastAsia="Times New Roman" w:hAnsi="Times New Roman"/>
          <w:b/>
          <w:bCs/>
          <w:sz w:val="28"/>
          <w:szCs w:val="28"/>
        </w:rPr>
        <w:t xml:space="preserve">3. Research Gap</w:t>
      </w:r>
    </w:p>
    <w:p>
      <w:pPr>
        <w:spacing w:after="200" w:line="360"/>
        <w:jc w:val="both"/>
      </w:pPr>
      <w:r>
        <w:rPr>
          <w:rFonts w:ascii="Times New Roman" w:cs="Times New Roman" w:eastAsia="Times New Roman" w:hAnsi="Times New Roman"/>
          <w:b w:val="false"/>
          <w:bCs w:val="false"/>
          <w:i w:val="false"/>
          <w:iCs w:val="false"/>
          <w:sz w:val="24"/>
          <w:szCs w:val="24"/>
        </w:rPr>
        <w:t xml:space="preserve">The literature reviewed in Section 2 establishes four separate but incomplete lines of progress. First, multi-modal RAG systems such as ManuRAG [12] successfully retrieve and reason over heterogeneous manufacturing documents, but retrieve information as independent, similarity-ranked chunks with no explicit mechanism for chaining facts across documents, resulting in a measured factual correctness of only 45.75 percent on multi-hop review questions. Second, graph-based retrieval-augmented generation, exemplified by GraphRAG [2], demonstrates that knowledge-graph traversal substantially improves performance on questions requiring connected, multi-hop reasoning, but is designed for general-domain, corpus-wide sensemaking rather than domain-specific factual question answering, and is not multi-modal.</w:t>
      </w:r>
    </w:p>
    <w:p>
      <w:pPr>
        <w:spacing w:after="200" w:line="360"/>
        <w:jc w:val="both"/>
      </w:pPr>
      <w:r>
        <w:rPr>
          <w:rFonts w:ascii="Times New Roman" w:cs="Times New Roman" w:eastAsia="Times New Roman" w:hAnsi="Times New Roman"/>
          <w:b w:val="false"/>
          <w:bCs w:val="false"/>
          <w:i w:val="false"/>
          <w:iCs w:val="false"/>
          <w:sz w:val="24"/>
          <w:szCs w:val="24"/>
        </w:rPr>
        <w:t xml:space="preserve">Third, systems that apply GraphRAG specifically to engineering diagrams, such as ChatP&amp;ID [13], demonstrate that converting P&amp;IDs into a knowledge graph meaningfully improves accuracy over raw image ingestion, but operate only on standardized, machine-readable DEXPI-format diagrams rather than the scanned or legacy P&amp;IDs typical of real industrial maintenance archives, and include no mechanism for human verification or correction of extracted facts. Fourth, the knowledge-graph-and-LLM fault diagnosis systems reviewed in Section 2.5 [16], [17], [18] are the closest prior work to the system proposed in this paper, reporting strong diagnostic accuracy gains from combining knowledge graphs with LLMs, but construct their knowledge graphs from text-only sources, such as maintenance manuals and equipment logs, and do not incorporate vision-parsed engineering diagrams into the graph. None of these systems formalizes a human-in-the-loop correction loop as an integrated, edge-level component of the retrieval pipeline, despite evidence that LLM-only validation of extracted knowledge graph triples remains unreliable without human collaboration [15].</w:t>
      </w:r>
    </w:p>
    <w:p>
      <w:pPr>
        <w:spacing w:after="200" w:line="360"/>
        <w:jc w:val="both"/>
      </w:pPr>
      <w:r>
        <w:rPr>
          <w:rFonts w:ascii="Times New Roman" w:cs="Times New Roman" w:eastAsia="Times New Roman" w:hAnsi="Times New Roman"/>
          <w:b w:val="false"/>
          <w:bCs w:val="false"/>
          <w:i w:val="false"/>
          <w:iCs w:val="false"/>
          <w:sz w:val="24"/>
          <w:szCs w:val="24"/>
        </w:rPr>
        <w:t xml:space="preserve">Synthesizing these four lines of work, the precise research gap addressed by this paper is as follows: no existing published system combines (a) multi-modal retrieval-augmented generation over heterogeneous industrial documentation, (b) a knowledge graph constructed from both textual documentation and vision-parsed engineering diagrams, including non-standardized or scanned P&amp;IDs, (c) a query-time retrieval router that combines vector similarity search with knowledge-graph traversal depending on query type, and (d) an expert-in-the-loop verification and correction mechanism, integrated at the level of individual graph edges, that is designed to measurably improve factual correctness over successive correction cycles. This gap is evaluated specifically in the context of centrifugal pump fault diagnosis and maintenance documentation, a safety-critical domain where untraceable, uncorrectable answers carry meaningful operational and safety risk.</w:t>
      </w:r>
    </w:p>
    <w:p>
      <w:r>
        <w:br w:type="page"/>
      </w:r>
    </w:p>
    <w:p>
      <w:pPr>
        <w:pStyle w:val="Heading1"/>
        <w:spacing w:after="160" w:before="320"/>
      </w:pPr>
      <w:r>
        <w:rPr>
          <w:rFonts w:ascii="Times New Roman" w:cs="Times New Roman" w:eastAsia="Times New Roman" w:hAnsi="Times New Roman"/>
          <w:b/>
          <w:bCs/>
          <w:sz w:val="28"/>
          <w:szCs w:val="28"/>
        </w:rPr>
        <w:t xml:space="preserve">4. Methodology</w:t>
      </w:r>
    </w:p>
    <w:p>
      <w:pPr>
        <w:pStyle w:val="Heading2"/>
        <w:spacing w:after="160" w:before="320"/>
      </w:pPr>
      <w:r>
        <w:rPr>
          <w:rFonts w:ascii="Times New Roman" w:cs="Times New Roman" w:eastAsia="Times New Roman" w:hAnsi="Times New Roman"/>
          <w:b/>
          <w:bCs/>
          <w:sz w:val="24"/>
          <w:szCs w:val="24"/>
        </w:rPr>
        <w:t xml:space="preserve">4.1 System Overview</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 extends the ManuRAG4 multi-modal retrieval-augmented generation pipeline [12] with a parallel knowledge-graph construction and retrieval path. Documents are ingested once and processed along two branches: an existing vector-retrieval branch, in which text and visual content are converted to descriptive text, embedded, and indexed for similarity search, and a new knowledge-graph branch, in which the same content is passed through schema-constrained entity and relation extraction, entity resolution, and graph storage. At query time, an incoming question is classified and routed to the vector path, the graph path, or both; retrieved context from both paths is merged before being passed to the answer-generating LLM, producing a traceable answer grounded in both similarity-ranked passages and explicit graph relationships.</w:t>
      </w:r>
    </w:p>
    <w:p>
      <w:pPr>
        <w:pStyle w:val="Heading2"/>
        <w:spacing w:after="160" w:before="320"/>
      </w:pPr>
      <w:r>
        <w:rPr>
          <w:rFonts w:ascii="Times New Roman" w:cs="Times New Roman" w:eastAsia="Times New Roman" w:hAnsi="Times New Roman"/>
          <w:b/>
          <w:bCs/>
          <w:sz w:val="24"/>
          <w:szCs w:val="24"/>
        </w:rPr>
        <w:t xml:space="preserve">4.2 Data Collection and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The knowledge source for the system consists of heterogeneous centrifugal pump documentation: operation and maintenance manuals, maintenance logs, equipment specification sheets, and piping and instrumentation diagrams. Following the layout-aware extraction approach established by LayoutLMv3 [5] and adopted by ManuRAG's ingestion pipeline [12], documents are first passed through layout detection to separate titles, paragraphs, tables, and figures, followed by OCR for textual content and formula and table extraction for structured content. Figures and diagrams, including scanned or legacy P&amp;IDs that lack standardized DEXPI structure, unlike the diagrams handled by ChatP&amp;ID [13], are parsed using a vision-capable multi-modal LLM, which produces both a descriptive caption of the image and, where applicable, structured entity and relation triples describing the equipment symbols and connections depicted.</w:t>
      </w:r>
    </w:p>
    <w:p>
      <w:pPr>
        <w:pStyle w:val="Heading2"/>
        <w:spacing w:after="160" w:before="320"/>
      </w:pPr>
      <w:r>
        <w:rPr>
          <w:rFonts w:ascii="Times New Roman" w:cs="Times New Roman" w:eastAsia="Times New Roman" w:hAnsi="Times New Roman"/>
          <w:b/>
          <w:bCs/>
          <w:sz w:val="24"/>
          <w:szCs w:val="24"/>
        </w:rPr>
        <w:t xml:space="preserve">4.3 Knowledge Graph Construction</w:t>
      </w:r>
    </w:p>
    <w:p>
      <w:pPr>
        <w:spacing w:after="200" w:line="360"/>
        <w:jc w:val="both"/>
      </w:pPr>
      <w:r>
        <w:rPr>
          <w:rFonts w:ascii="Times New Roman" w:cs="Times New Roman" w:eastAsia="Times New Roman" w:hAnsi="Times New Roman"/>
          <w:b w:val="false"/>
          <w:bCs w:val="false"/>
          <w:i w:val="false"/>
          <w:iCs w:val="false"/>
          <w:sz w:val="24"/>
          <w:szCs w:val="24"/>
        </w:rPr>
        <w:t xml:space="preserve">Each parsed text chunk and image caption is passed to an LLM operating in schema-constrained JSON output mode, using a fixed entity type vocabulary, Equipment, Component, FailureMode, Cause, and CorrectiveAction, and a fixed relation vocabulary, following the canonicalization approach of Zhang and Soh [21] to prevent the inconsistent relation naming that unconstrained extraction tends to produce. A gleaning pass, a second extraction call asking the model whether any entities or relationships were missed in the first pass, is applied following the recall-improvement technique used in GraphRAG-style extraction pipelines [2], since single-pass LLM extraction has been shown to under-recall secondary relationships in dense technical text [22].</w:t>
      </w:r>
    </w:p>
    <w:p>
      <w:pPr>
        <w:spacing w:after="200" w:line="360"/>
        <w:jc w:val="both"/>
      </w:pPr>
      <w:r>
        <w:rPr>
          <w:rFonts w:ascii="Times New Roman" w:cs="Times New Roman" w:eastAsia="Times New Roman" w:hAnsi="Times New Roman"/>
          <w:b w:val="false"/>
          <w:bCs w:val="false"/>
          <w:i w:val="false"/>
          <w:iCs w:val="false"/>
          <w:sz w:val="24"/>
          <w:szCs w:val="24"/>
        </w:rPr>
        <w:t xml:space="preserve">Extracted entities are resolved against existing graph nodes before insertion: exact or alias-table matching is used for equipment identifiers and model numbers, with cosine similarity over entity embeddings used as a fallback for fuzzy name variants, preventing the same physical component from being represented as multiple disconnected nodes across different source documents. Each resolved edge is stored with source provenance, the originating document and page, and a confidence score; edges below a confidence threshold are routed to the Human-in-the-Loop Verification Queue described in Section 4.5 rather than being immediately trusted in retrieval, directly applying the finding that LLM-only triple validation is unreliable without human collaboration [15].</w:t>
      </w:r>
    </w:p>
    <w:p>
      <w:pPr>
        <w:pStyle w:val="Heading2"/>
        <w:spacing w:after="160" w:before="320"/>
      </w:pPr>
      <w:r>
        <w:rPr>
          <w:rFonts w:ascii="Times New Roman" w:cs="Times New Roman" w:eastAsia="Times New Roman" w:hAnsi="Times New Roman"/>
          <w:b/>
          <w:bCs/>
          <w:sz w:val="24"/>
          <w:szCs w:val="24"/>
        </w:rPr>
        <w:t xml:space="preserve">4.4 Query-Time Retrieval</w:t>
      </w:r>
    </w:p>
    <w:p>
      <w:pPr>
        <w:spacing w:after="200" w:line="360"/>
        <w:jc w:val="both"/>
      </w:pPr>
      <w:r>
        <w:rPr>
          <w:rFonts w:ascii="Times New Roman" w:cs="Times New Roman" w:eastAsia="Times New Roman" w:hAnsi="Times New Roman"/>
          <w:b w:val="false"/>
          <w:bCs w:val="false"/>
          <w:i w:val="false"/>
          <w:iCs w:val="false"/>
          <w:sz w:val="24"/>
          <w:szCs w:val="24"/>
        </w:rPr>
        <w:t xml:space="preserve">An incoming query is classified, using either lightweight keyword heuristics or a few-shot LLM classifier, as a single-fact, conceptual, or multi-hop and causal question. Single-fact and conceptual queries are routed to vector similarity search, using cosine similarity over an HNSW-indexed embedding space [6], following ManuRAG's Sim(q,v) ranking approach [12]. Multi-hop, causal, or relational queries are additionally routed to the knowledge-graph path: entities named in the query are extracted using the same schema-constrained extraction model used during ingestion, linked to existing graph nodes, and used as the starting point for graph traversal, a shortest-path search when two linked entities are identified, following the reasoning-and-acting interleaving pattern of ReAct [4], or an N-hop neighborhood expansion when only one entity is identified. Retrieved context from both paths, the top-K similarity-ranked text chunks and the retrieved subgraph serialized as text triples, is merged and passed to the answer-generating LLM together with the original query, producing an answer whose supporting facts can be traced back to specific graph edges or source passages.</w:t>
      </w:r>
    </w:p>
    <w:p>
      <w:pPr>
        <w:pStyle w:val="Heading2"/>
        <w:spacing w:after="160" w:before="320"/>
      </w:pPr>
      <w:r>
        <w:rPr>
          <w:rFonts w:ascii="Times New Roman" w:cs="Times New Roman" w:eastAsia="Times New Roman" w:hAnsi="Times New Roman"/>
          <w:b/>
          <w:bCs/>
          <w:sz w:val="24"/>
          <w:szCs w:val="24"/>
        </w:rPr>
        <w:t xml:space="preserve">4.5 Human-in-the-Loop Verification</w:t>
      </w:r>
    </w:p>
    <w:p>
      <w:pPr>
        <w:spacing w:after="200" w:line="360"/>
        <w:jc w:val="both"/>
      </w:pPr>
      <w:r>
        <w:rPr>
          <w:rFonts w:ascii="Times New Roman" w:cs="Times New Roman" w:eastAsia="Times New Roman" w:hAnsi="Times New Roman"/>
          <w:b w:val="false"/>
          <w:bCs w:val="false"/>
          <w:i w:val="false"/>
          <w:iCs w:val="false"/>
          <w:sz w:val="24"/>
          <w:szCs w:val="24"/>
        </w:rPr>
        <w:t xml:space="preserve">Low-confidence graph edges identified during construction, and edges implicated in an answer that a user or reviewing engineer flags as incorrect, are surfaced in a Verification Queue for review by a domain expert. Corrections made through this interface update the underlying graph edge directly, rather than merely correcting a single answer, meaning that a single expert correction improves every future query that traverses the corrected edge. This design directly operationalizes the human-in-the-loop principles surveyed by Wu et al. [20] and is intended to be evaluated by measuring factual correctness before and after successive rounds of correction, following the evaluation approach used in human-in-the-loop knowledge graph validation research [15].</w:t>
      </w:r>
    </w:p>
    <w:p>
      <w:pPr>
        <w:pStyle w:val="Heading2"/>
        <w:spacing w:after="160" w:before="320"/>
      </w:pPr>
      <w:r>
        <w:rPr>
          <w:rFonts w:ascii="Times New Roman" w:cs="Times New Roman" w:eastAsia="Times New Roman" w:hAnsi="Times New Roman"/>
          <w:b/>
          <w:bCs/>
          <w:sz w:val="24"/>
          <w:szCs w:val="24"/>
        </w:rPr>
        <w:t xml:space="preserve">4.6 Evaluation Plan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will be evaluated using a benchmark of question-answer pairs constructed for the centrifugal pump domain, structured into single-fact, conceptual, and multi-hop or causal categories, following the MathQ, MCQ, and RQ category structure used to evaluate ManuRAG [12]. Three retrieval conditions will be compared: vector-only retrieval, equivalent to the ManuRAG4 baseline, graph-only retrieval, and the proposed hybrid retrieval. Evaluation metrics will include factual correctness, computed as claim-level precision and recall following the RAGAS methodology, and context precision and recall, allowing direct comparison against the baseline figures reported for ManuRAG [12]. The primary hypothesis is that the factual correctness gap between hybrid and vector-only retrieval will be largest specifically on the multi-hop and causal question category, consistent with the mechanism identified in Section 3.</w:t>
      </w:r>
    </w:p>
    <w:p>
      <w:r>
        <w:br w:type="page"/>
      </w:r>
    </w:p>
    <w:p>
      <w:pPr>
        <w:pStyle w:val="Heading1"/>
        <w:spacing w:after="160" w:before="320"/>
      </w:pPr>
      <w:r>
        <w:rPr>
          <w:rFonts w:ascii="Times New Roman" w:cs="Times New Roman" w:eastAsia="Times New Roman" w:hAnsi="Times New Roman"/>
          <w:b/>
          <w:bCs/>
          <w:sz w:val="28"/>
          <w:szCs w:val="28"/>
        </w:rPr>
        <w:t xml:space="preserve">5. Technology Stack, Tools, and Algorithms</w:t>
      </w:r>
    </w:p>
    <w:p>
      <w:pPr>
        <w:pStyle w:val="Heading2"/>
        <w:spacing w:after="160" w:before="320"/>
      </w:pPr>
      <w:r>
        <w:rPr>
          <w:rFonts w:ascii="Times New Roman" w:cs="Times New Roman" w:eastAsia="Times New Roman" w:hAnsi="Times New Roman"/>
          <w:b/>
          <w:bCs/>
          <w:sz w:val="24"/>
          <w:szCs w:val="24"/>
        </w:rPr>
        <w:t xml:space="preserve">5.1 Technology Stack</w:t>
      </w:r>
    </w:p>
    <w:p>
      <w:pPr>
        <w:spacing w:after="200" w:line="360"/>
        <w:jc w:val="both"/>
      </w:pPr>
      <w:r>
        <w:rPr>
          <w:rFonts w:ascii="Times New Roman" w:cs="Times New Roman" w:eastAsia="Times New Roman" w:hAnsi="Times New Roman"/>
          <w:b w:val="false"/>
          <w:bCs w:val="false"/>
          <w:i w:val="false"/>
          <w:iCs w:val="false"/>
          <w:sz w:val="24"/>
          <w:szCs w:val="24"/>
        </w:rPr>
        <w:t xml:space="preserve">Backend: FastAPI (Python), providing the ingestion, retrieval, and answer-generation API endpoints.</w:t>
      </w:r>
    </w:p>
    <w:p>
      <w:pPr>
        <w:spacing w:after="200" w:line="360"/>
        <w:jc w:val="both"/>
      </w:pPr>
      <w:r>
        <w:rPr>
          <w:rFonts w:ascii="Times New Roman" w:cs="Times New Roman" w:eastAsia="Times New Roman" w:hAnsi="Times New Roman"/>
          <w:b w:val="false"/>
          <w:bCs w:val="false"/>
          <w:i w:val="false"/>
          <w:iCs w:val="false"/>
          <w:sz w:val="24"/>
          <w:szCs w:val="24"/>
        </w:rPr>
        <w:t xml:space="preserve">Language and Vision Models: Cohere for text generation and text embeddings; a vision-capable multi-modal LLM (Gemini Vision) for parsing scanned documents, tables, and engineering diagrams.</w:t>
      </w:r>
    </w:p>
    <w:p>
      <w:pPr>
        <w:spacing w:after="200" w:line="360"/>
        <w:jc w:val="both"/>
      </w:pPr>
      <w:r>
        <w:rPr>
          <w:rFonts w:ascii="Times New Roman" w:cs="Times New Roman" w:eastAsia="Times New Roman" w:hAnsi="Times New Roman"/>
          <w:b w:val="false"/>
          <w:bCs w:val="false"/>
          <w:i w:val="false"/>
          <w:iCs w:val="false"/>
          <w:sz w:val="24"/>
          <w:szCs w:val="24"/>
        </w:rPr>
        <w:t xml:space="preserve">Vector Database: PostgreSQL with the pgvector extension, using HNSW indexing [6] for approximate nearest neighbor similarity search.</w:t>
      </w:r>
    </w:p>
    <w:p>
      <w:pPr>
        <w:spacing w:after="200" w:line="360"/>
        <w:jc w:val="both"/>
      </w:pPr>
      <w:r>
        <w:rPr>
          <w:rFonts w:ascii="Times New Roman" w:cs="Times New Roman" w:eastAsia="Times New Roman" w:hAnsi="Times New Roman"/>
          <w:b w:val="false"/>
          <w:bCs w:val="false"/>
          <w:i w:val="false"/>
          <w:iCs w:val="false"/>
          <w:sz w:val="24"/>
          <w:szCs w:val="24"/>
        </w:rPr>
        <w:t xml:space="preserve">Graph Storage: Neo4j, or alternatively adjacency tables within the existing PostgreSQL instance, storing nodes, edges, confidence weights, and source provenance.</w:t>
      </w:r>
    </w:p>
    <w:p>
      <w:pPr>
        <w:spacing w:after="200" w:line="360"/>
        <w:jc w:val="both"/>
      </w:pPr>
      <w:r>
        <w:rPr>
          <w:rFonts w:ascii="Times New Roman" w:cs="Times New Roman" w:eastAsia="Times New Roman" w:hAnsi="Times New Roman"/>
          <w:b w:val="false"/>
          <w:bCs w:val="false"/>
          <w:i w:val="false"/>
          <w:iCs w:val="false"/>
          <w:sz w:val="24"/>
          <w:szCs w:val="24"/>
        </w:rPr>
        <w:t xml:space="preserve">Frontend: React with Vite; React Flow for the interactive Knowledge Graph Explorer and Human-in-the-Loop Verification Dashboard.</w:t>
      </w:r>
    </w:p>
    <w:p>
      <w:pPr>
        <w:spacing w:after="200" w:line="360"/>
        <w:jc w:val="both"/>
      </w:pPr>
      <w:r>
        <w:rPr>
          <w:rFonts w:ascii="Times New Roman" w:cs="Times New Roman" w:eastAsia="Times New Roman" w:hAnsi="Times New Roman"/>
          <w:b w:val="false"/>
          <w:bCs w:val="false"/>
          <w:i w:val="false"/>
          <w:iCs w:val="false"/>
          <w:sz w:val="24"/>
          <w:szCs w:val="24"/>
        </w:rPr>
        <w:t xml:space="preserve">Orchestration: LangChain and LangGraph for implementing the query classification and retrieval-routing logic, and the ReAct-style [4] reasoning-and-acting loop used for multi-hop graph traversal.</w:t>
      </w:r>
    </w:p>
    <w:p>
      <w:pPr>
        <w:spacing w:after="200" w:line="360"/>
        <w:jc w:val="both"/>
      </w:pPr>
      <w:r>
        <w:rPr>
          <w:rFonts w:ascii="Times New Roman" w:cs="Times New Roman" w:eastAsia="Times New Roman" w:hAnsi="Times New Roman"/>
          <w:b w:val="false"/>
          <w:bCs w:val="false"/>
          <w:i w:val="false"/>
          <w:iCs w:val="false"/>
          <w:sz w:val="24"/>
          <w:szCs w:val="24"/>
        </w:rPr>
        <w:t xml:space="preserve">Object Storage: Amazon S3, storing raw extracted images and diagrams, referenced from the vector and graph stores via UUID metadata.</w:t>
      </w:r>
    </w:p>
    <w:p>
      <w:pPr>
        <w:spacing w:after="200" w:line="360"/>
        <w:jc w:val="both"/>
      </w:pPr>
      <w:r>
        <w:rPr>
          <w:rFonts w:ascii="Times New Roman" w:cs="Times New Roman" w:eastAsia="Times New Roman" w:hAnsi="Times New Roman"/>
          <w:b w:val="false"/>
          <w:bCs w:val="false"/>
          <w:i w:val="false"/>
          <w:iCs w:val="false"/>
          <w:sz w:val="24"/>
          <w:szCs w:val="24"/>
        </w:rPr>
        <w:t xml:space="preserve">Evaluation Framework: RAGAS, used to compute factual correctness, context precision, and context recall metrics, consistent with the evaluation methodology reported for ManuRAG [12].</w:t>
      </w:r>
    </w:p>
    <w:p>
      <w:pPr>
        <w:pStyle w:val="Heading2"/>
        <w:spacing w:after="160" w:before="320"/>
      </w:pPr>
      <w:r>
        <w:rPr>
          <w:rFonts w:ascii="Times New Roman" w:cs="Times New Roman" w:eastAsia="Times New Roman" w:hAnsi="Times New Roman"/>
          <w:b/>
          <w:bCs/>
          <w:sz w:val="24"/>
          <w:szCs w:val="24"/>
        </w:rPr>
        <w:t xml:space="preserve">5.2 Algorithms</w:t>
      </w:r>
    </w:p>
    <w:p>
      <w:pPr>
        <w:spacing w:after="200" w:line="360"/>
        <w:jc w:val="both"/>
      </w:pPr>
      <w:r>
        <w:rPr>
          <w:rFonts w:ascii="Times New Roman" w:cs="Times New Roman" w:eastAsia="Times New Roman" w:hAnsi="Times New Roman"/>
          <w:b w:val="false"/>
          <w:bCs w:val="false"/>
          <w:i w:val="false"/>
          <w:iCs w:val="false"/>
          <w:sz w:val="24"/>
          <w:szCs w:val="24"/>
        </w:rPr>
        <w:t xml:space="preserve">Document Parsing: layout-aware segmentation following the unified text-and-image masking approach of LayoutLMv3 [5], separating text, tables, formulas, and figures prior to extraction.</w:t>
      </w:r>
    </w:p>
    <w:p>
      <w:pPr>
        <w:spacing w:after="200" w:line="360"/>
        <w:jc w:val="both"/>
      </w:pPr>
      <w:r>
        <w:rPr>
          <w:rFonts w:ascii="Times New Roman" w:cs="Times New Roman" w:eastAsia="Times New Roman" w:hAnsi="Times New Roman"/>
          <w:b w:val="false"/>
          <w:bCs w:val="false"/>
          <w:i w:val="false"/>
          <w:iCs w:val="false"/>
          <w:sz w:val="24"/>
          <w:szCs w:val="24"/>
        </w:rPr>
        <w:t xml:space="preserve">Entity and Relation Extraction: schema-constrained large language model extraction using fixed entity and relation vocabularies, with a gleaning follow-up pass to improve recall, following the canonicalization principles of Zhang and Soh [21] and the recall-improvement technique used in GraphRAG-style pipelines [2].</w:t>
      </w:r>
    </w:p>
    <w:p>
      <w:pPr>
        <w:spacing w:after="200" w:line="360"/>
        <w:jc w:val="both"/>
      </w:pPr>
      <w:r>
        <w:rPr>
          <w:rFonts w:ascii="Times New Roman" w:cs="Times New Roman" w:eastAsia="Times New Roman" w:hAnsi="Times New Roman"/>
          <w:b w:val="false"/>
          <w:bCs w:val="false"/>
          <w:i w:val="false"/>
          <w:iCs w:val="false"/>
          <w:sz w:val="24"/>
          <w:szCs w:val="24"/>
        </w:rPr>
        <w:t xml:space="preserve">Entity Resolution: exact and alias-table matching for equipment identifiers, with cosine similarity over entity embeddings as a fallback for fuzzy name variants, to merge duplicate mentions of the same entity across documents.</w:t>
      </w:r>
    </w:p>
    <w:p>
      <w:pPr>
        <w:spacing w:after="200" w:line="360"/>
        <w:jc w:val="both"/>
      </w:pPr>
      <w:r>
        <w:rPr>
          <w:rFonts w:ascii="Times New Roman" w:cs="Times New Roman" w:eastAsia="Times New Roman" w:hAnsi="Times New Roman"/>
          <w:b w:val="false"/>
          <w:bCs w:val="false"/>
          <w:i w:val="false"/>
          <w:iCs w:val="false"/>
          <w:sz w:val="24"/>
          <w:szCs w:val="24"/>
        </w:rPr>
        <w:t xml:space="preserve">Vector Similarity Search: cosine similarity computed over an HNSW-indexed embedding space [6], following the Sim(q,v) ranking approach used in ManuRAG [12].</w:t>
      </w:r>
    </w:p>
    <w:p>
      <w:pPr>
        <w:spacing w:after="200" w:line="360"/>
        <w:jc w:val="both"/>
      </w:pPr>
      <w:r>
        <w:rPr>
          <w:rFonts w:ascii="Times New Roman" w:cs="Times New Roman" w:eastAsia="Times New Roman" w:hAnsi="Times New Roman"/>
          <w:b w:val="false"/>
          <w:bCs w:val="false"/>
          <w:i w:val="false"/>
          <w:iCs w:val="false"/>
          <w:sz w:val="24"/>
          <w:szCs w:val="24"/>
        </w:rPr>
        <w:t xml:space="preserve">Graph Traversal: shortest-path search when a query links two known entities, and N-hop neighborhood expansion when a query links a single entity, used to retrieve a connected subgraph relevant to the query.</w:t>
      </w:r>
    </w:p>
    <w:p>
      <w:pPr>
        <w:spacing w:after="200" w:line="360"/>
        <w:jc w:val="both"/>
      </w:pPr>
      <w:r>
        <w:rPr>
          <w:rFonts w:ascii="Times New Roman" w:cs="Times New Roman" w:eastAsia="Times New Roman" w:hAnsi="Times New Roman"/>
          <w:b w:val="false"/>
          <w:bCs w:val="false"/>
          <w:i w:val="false"/>
          <w:iCs w:val="false"/>
          <w:sz w:val="24"/>
          <w:szCs w:val="24"/>
        </w:rPr>
        <w:t xml:space="preserve">Query Classification and Routing: few-shot large language model classification, informed by the reasoning-and-acting interleaving pattern of ReAct [4], used to decide whether a query is routed to vector retrieval, graph retrieval, or both.</w:t>
      </w:r>
    </w:p>
    <w:p>
      <w:pPr>
        <w:spacing w:after="200" w:line="360"/>
        <w:jc w:val="both"/>
      </w:pPr>
      <w:r>
        <w:rPr>
          <w:rFonts w:ascii="Times New Roman" w:cs="Times New Roman" w:eastAsia="Times New Roman" w:hAnsi="Times New Roman"/>
          <w:b w:val="false"/>
          <w:bCs w:val="false"/>
          <w:i w:val="false"/>
          <w:iCs w:val="false"/>
          <w:sz w:val="24"/>
          <w:szCs w:val="24"/>
        </w:rPr>
        <w:t xml:space="preserve">Human-in-the-Loop Correction: confidence-threshold-based flagging of extracted edges for expert review, following the human-LLM collaborative validation approach shown to improve knowledge graph triple quality [15].</w:t>
      </w:r>
    </w:p>
    <w:p>
      <w:r>
        <w:br w:type="page"/>
      </w:r>
    </w:p>
    <w:p>
      <w:pPr>
        <w:pStyle w:val="Heading1"/>
        <w:spacing w:after="160" w:before="320"/>
      </w:pPr>
      <w:r>
        <w:rPr>
          <w:rFonts w:ascii="Times New Roman" w:cs="Times New Roman" w:eastAsia="Times New Roman" w:hAnsi="Times New Roman"/>
          <w:b/>
          <w:bCs/>
          <w:sz w:val="28"/>
          <w:szCs w:val="28"/>
        </w:rPr>
        <w:t xml:space="preserve">6. References</w:t>
      </w:r>
    </w:p>
    <w:p>
      <w:pPr>
        <w:spacing w:after="120" w:line="300"/>
        <w:ind w:left="504" w:hanging="504"/>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after="120" w:line="300"/>
        <w:ind w:left="504" w:hanging="504"/>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D. Edge, H. Trinh, N. Cheng, J. Bradley, A. Chao, A. Mody, S. Truitt, and J. Larson, "From local to global: A graph RAG approach to query-focused summarization," Microsoft Research, arXiv:2404.16130, 2024.</w:t>
      </w:r>
    </w:p>
    <w:p>
      <w:pPr>
        <w:spacing w:after="120" w:line="300"/>
        <w:ind w:left="504" w:hanging="504"/>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Y. Gao, Y. Xiong, X. Gao, K. Jia, J. Pan, Y. Bi, Y. Dai, J. Sun, M. Wang, and H. Wang, "Retrieval-augmented generation for large language models: A survey," arXiv:2312.10997, 2023.</w:t>
      </w:r>
    </w:p>
    <w:p>
      <w:pPr>
        <w:spacing w:after="120" w:line="300"/>
        <w:ind w:left="504" w:hanging="504"/>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S. Yao, J. Zhao, D. Yu, N. Du, I. Shafran, K. Narasimhan, and Y. Cao, "ReAct: Synergizing reasoning and acting in language models," in Proc. 11th Int. Conf. Learning Representations (ICLR), 2023.</w:t>
      </w:r>
    </w:p>
    <w:p>
      <w:pPr>
        <w:spacing w:after="120" w:line="300"/>
        <w:ind w:left="504" w:hanging="504"/>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Y. Huang, T. Lv, L. Cui, Y. Lu, and F. Wei, "LayoutLMv3: Pre-training for document AI with unified text and image masking," in Proc. 30th ACM Int. Conf. Multimedia (MM), 2022, pp. 4083–4091.</w:t>
      </w:r>
    </w:p>
    <w:p>
      <w:pPr>
        <w:spacing w:after="120" w:line="300"/>
        <w:ind w:left="504" w:hanging="504"/>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Y. A. Malkov and D. A. Yashunin, "Efficient and robust approximate nearest neighbor search using hierarchical navigable small world graphs," IEEE Trans. Pattern Anal. Mach. Intell., vol. 42, no. 4, pp. 824–836, Apr. 2020.</w:t>
      </w:r>
    </w:p>
    <w:p>
      <w:pPr>
        <w:spacing w:after="120" w:line="300"/>
        <w:ind w:left="504" w:hanging="504"/>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 A. Shaalan, W. Mefteh, and A. M. Frihida, "Review on deep learning classifiers for faults diagnosis of rotating industrial machinery," Service Oriented Computing and Applications, 2024.</w:t>
      </w:r>
    </w:p>
    <w:p>
      <w:pPr>
        <w:spacing w:after="120" w:line="300"/>
        <w:ind w:left="504" w:hanging="504"/>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Z. Zhu, Y. Lei, G. Qi, Y. Chai, N. Mazur, Y. An, and X. Huang, "A review of the application of deep learning in intelligent fault diagnosis of rotating machinery," Measurement, vol. 206, Art. no. 112346, 2023.</w:t>
      </w:r>
    </w:p>
    <w:p>
      <w:pPr>
        <w:spacing w:after="120" w:line="300"/>
        <w:ind w:left="504" w:hanging="504"/>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L. Huang, W. Yu, W. Ma, W. Zhong, Z. Feng, H. Wang, Q. Chen, W. Peng, X. Feng, B. Qin, and T. Liu, "A survey on hallucination in large language models: Principles, taxonomy, challenges, and open questions," ACM Trans. Inf. Syst., vol. 43, no. 2, pp. 1–55, 2025.</w:t>
      </w:r>
    </w:p>
    <w:p>
      <w:pPr>
        <w:spacing w:after="120" w:line="300"/>
        <w:ind w:left="504" w:hanging="504"/>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S. Pan, L. Luo, Y. Wang, C. Chen, J. Wang, and X. Wu, "Unifying large language models and knowledge graphs: A roadmap," IEEE Trans. Knowledge and Data Engineering, vol. 36, no. 7, pp. 3580–3599, 2024.</w:t>
      </w:r>
    </w:p>
    <w:p>
      <w:pPr>
        <w:spacing w:after="120" w:line="300"/>
        <w:ind w:left="504" w:hanging="504"/>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S. Ji, S. Pan, E. Cambria, P. Marttinen, and P. S. Yu, "A survey on knowledge graphs: Representation, acquisition, and applications," IEEE Trans. Neural Networks and Learning Systems, vol. 33, no. 2, pp. 494–514, 2021.</w:t>
      </w:r>
    </w:p>
    <w:p>
      <w:pPr>
        <w:spacing w:after="120" w:line="300"/>
        <w:ind w:left="504" w:hanging="504"/>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Y. Li, Z. Dong, F. Ameri, and J. Zhang, "ManuRAG: Multi-modal retrieval augmented generation for manufacturing question answering," Journal of Intelligent Manufacturing, Springer, 2026.</w:t>
      </w:r>
    </w:p>
    <w:p>
      <w:pPr>
        <w:spacing w:after="120" w:line="300"/>
        <w:ind w:left="504" w:hanging="504"/>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Authors, "GraphRAG for engineering diagrams: ChatP&amp;ID enables LLM interaction with P&amp;IDs," AIChE Journal, Wiley, 2026.</w:t>
      </w:r>
    </w:p>
    <w:p>
      <w:pPr>
        <w:spacing w:after="120" w:line="300"/>
        <w:ind w:left="504" w:hanging="504"/>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Authors, "SOPRAG: Multi-view graph experts retrieval for industrial standard operating procedures," arXiv preprint, 2026.</w:t>
      </w:r>
    </w:p>
    <w:p>
      <w:pPr>
        <w:spacing w:after="120" w:line="300"/>
        <w:ind w:left="504" w:hanging="504"/>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Authors, "Knowledge graph validation by integrating LLMs and human-in-the-loop," Information Processing &amp; Management, Elsevier, 2025.</w:t>
      </w:r>
    </w:p>
    <w:p>
      <w:pPr>
        <w:spacing w:after="120" w:line="300"/>
        <w:ind w:left="504" w:hanging="504"/>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P. Liu, L. Qian, X. Zhao, and B. Tao, "Joint knowledge graph and large language model for fault diagnosis and its application in aviation assembly," IEEE Trans. Industrial Informatics, vol. 20, no. 6, pp. 8160–8169, 2024.</w:t>
      </w:r>
    </w:p>
    <w:p>
      <w:pPr>
        <w:spacing w:after="120" w:line="300"/>
        <w:ind w:left="504" w:hanging="504"/>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Authors, "Knowledge graph-driven fault diagnosis for aviation equipment: Integrating improved joint extraction with large language model," Advanced Engineering Informatics / ScienceDirect, 2025.</w:t>
      </w:r>
    </w:p>
    <w:p>
      <w:pPr>
        <w:spacing w:after="120" w:line="300"/>
        <w:ind w:left="504" w:hanging="504"/>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Authors, "Intelligent fault diagnosis for CNC through the integration of large language models and domain knowledge graphs," ScienceDirect, 2025.</w:t>
      </w:r>
    </w:p>
    <w:p>
      <w:pPr>
        <w:spacing w:after="120" w:line="300"/>
        <w:ind w:left="504" w:hanging="504"/>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Authors, "A review of fault diagnosis methods: From traditional machine learning to large language model fusion paradigm," 2026.</w:t>
      </w:r>
    </w:p>
    <w:p>
      <w:pPr>
        <w:spacing w:after="120" w:line="300"/>
        <w:ind w:left="504" w:hanging="504"/>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X. Wu, L. Xiao, Y. Sun, J. Zhang, T. Ma, and L. He, "A survey of human-in-the-loop for machine learning," Future Generation Computer Systems, vol. 135, pp. 364–381, Oct. 2022.</w:t>
      </w:r>
    </w:p>
    <w:p>
      <w:pPr>
        <w:spacing w:after="120" w:line="300"/>
        <w:ind w:left="504" w:hanging="504"/>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B. Zhang and H. Soh, "Extract, define, canonicalize: An LLM-based framework for knowledge graph construction," in Proc. 2024 Conf. Empirical Methods in Natural Language Processing (EMNLP), 2024, pp. 9820–9836.</w:t>
      </w:r>
    </w:p>
    <w:p>
      <w:pPr>
        <w:spacing w:after="120" w:line="300"/>
        <w:ind w:left="504" w:hanging="504"/>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Authors, "LLM-empowered knowledge graph construction: A survey," arXiv:2510.20345,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 Multimodal Knowledge Graph for Industrial Fault Diagnosis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2026-09-16T08:17:29.692Z</dcterms:created>
  <dcterms:modified xsi:type="dcterms:W3CDTF">2026-09-16T08:17:29.692Z</dcterms:modified>
</cp:coreProperties>
</file>

<file path=docProps/custom.xml><?xml version="1.0" encoding="utf-8"?>
<Properties xmlns="http://schemas.openxmlformats.org/officeDocument/2006/custom-properties" xmlns:vt="http://schemas.openxmlformats.org/officeDocument/2006/docPropsVTypes"/>
</file>