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b/>
          <w:bCs/>
          <w:color w:val="1F4E79"/>
          <w:sz w:val="32"/>
          <w:szCs w:val="32"/>
        </w:rPr>
        <w:t xml:space="preserve">Project Report / Proposal</w:t>
      </w:r>
    </w:p>
    <w:p>
      <w:pPr>
        <w:spacing w:after="300"/>
        <w:jc w:val="center"/>
      </w:pPr>
      <w:r>
        <w:rPr>
          <w:b/>
          <w:bCs/>
          <w:sz w:val="40"/>
          <w:szCs w:val="40"/>
        </w:rPr>
        <w:t xml:space="preserve">Script-Family-Aware Contrastive Adapters for Low-Resource Multilingual Authorship Attribution of AI-Generated Text</w:t>
      </w:r>
    </w:p>
    <w:p>
      <w:pPr>
        <w:spacing w:after="700"/>
        <w:jc w:val="center"/>
      </w:pPr>
      <w:r>
        <w:rPr>
          <w:i/>
          <w:iCs/>
          <w:color w:val="555555"/>
          <w:sz w:val="24"/>
          <w:szCs w:val="24"/>
        </w:rPr>
        <w:t xml:space="preserve">Forensic Detection and Provenance-Based Attribution of AI-Generated Multilingual Text</w:t>
      </w:r>
    </w:p>
    <w:p>
      <w:pPr>
        <w:spacing w:after="120"/>
        <w:jc w:val="center"/>
      </w:pPr>
      <w:r>
        <w:rPr>
          <w:sz w:val="22"/>
          <w:szCs w:val="22"/>
        </w:rPr>
        <w:t xml:space="preserve">Third-Year B.Tech / B.E. Project — Full Report</w:t>
      </w:r>
    </w:p>
    <w:p>
      <w:pPr>
        <w:spacing w:after="120"/>
        <w:jc w:val="center"/>
      </w:pPr>
      <w:r>
        <w:rPr>
          <w:sz w:val="22"/>
          <w:szCs w:val="22"/>
        </w:rPr>
        <w:t xml:space="preserve">Department of Computer Science / Information Technology</w:t>
      </w:r>
    </w:p>
    <w:p>
      <w:pPr>
        <w:jc w:val="center"/>
      </w:pPr>
      <w:r>
        <w:rPr>
          <w:sz w:val="22"/>
          <w:szCs w:val="22"/>
        </w:rPr>
        <w:t xml:space="preserve">2026</w:t>
      </w:r>
    </w:p>
    <w:p>
      <w:r>
        <w:br w:type="page"/>
      </w:r>
    </w:p>
    <w:p>
      <w:pPr>
        <w:pStyle w:val="Heading1"/>
        <w:spacing w:after="160" w:before="320"/>
      </w:pPr>
      <w:r>
        <w:t xml:space="preserve">Abstract</w:t>
      </w:r>
    </w:p>
    <w:p>
      <w:pPr>
        <w:spacing w:after="160"/>
      </w:pPr>
      <w:r>
        <w:t xml:space="preserve">Large Language Models (LLMs) can now generate fluent, human-like text in dozens of languages, making it increasingly difficult to tell whether a piece of writing was produced by a human or a machine, and, more importantly, which specific model produced it. The most recent and thorough study of this problem — La Cava, Macko, Moro, Srba, and Tagarelli, “Authorship Attribution in Multilingual Machine-Generated Texts” (ACL 2026) — evaluates eight attribution methods across 18 languages and shows that performance and cross-lingual transferability collapse once the target language uses a script or family very different from the training languages. The authors explicitly flag two gaps as future work: extending coverage to low-resource languages, and improving robustness of cross-script transfer. This project addresses both gaps at once with a single novel contribution: Script-Family-Aware Contrastive Adapters (SFA-CA), a lightweight parameter-efficient fine-tuning method that trains a small low-rank adapter per script/language-family cluster on top of a frozen multilingual backbone, using a contrastive objective that pulls together same-generator representations across families and pushes apart different-generator representations within a family. We evaluate this method on the existing MULTITuDE benchmark and on a newly constructed low-resource-language extension, comparing it against the base paper's strongest reported methods (OTBDetector, mdok, XLM-RoBERTa-large) in both the multilingual (ML-MGT) and cross-lingual transfer (CL-MGT) settings. This project is scoped to be feasible within a single academic semester while producing a genuine methodological contribution suitable for submission to a workshop or regional conference.</w:t>
      </w:r>
    </w:p>
    <w:p>
      <w:pPr>
        <w:pStyle w:val="Heading1"/>
        <w:spacing w:after="160" w:before="320"/>
      </w:pPr>
      <w:r>
        <w:t xml:space="preserve">1. Introduction and Motivation</w:t>
      </w:r>
    </w:p>
    <w:p>
      <w:pPr>
        <w:spacing w:after="160"/>
      </w:pPr>
      <w:r>
        <w:t xml:space="preserve">Generative AI systems such as GPT, Llama, Qwen, and Mistral can now produce text that is often indistinguishable from human writing. This creates two intertwined research problems: (1) Detection — determining whether a text is human-written or machine-generated, and (2) Authorship Attribution (AA) — determining which specific model generated a text, among a set of candidate generators, including the possibility that it was human-written. Attribution matters more than plain detection in real-world forensic and accountability settings, since knowing which model produced a text supports provenance tracking, platform accountability, misinformation-campaign tracing, and copyright disputes.</w:t>
      </w:r>
    </w:p>
    <w:p>
      <w:pPr>
        <w:spacing w:after="160"/>
      </w:pPr>
      <w:r>
        <w:t xml:space="preserve">Almost all prior work on this problem has focused on English. The most recent and comprehensive multilingual study — the ACL 2026 paper this project builds directly on — covers 18 languages across 8 language families and 5 writing scripts, and shows that even the best attribution methods lose significant accuracy once tested on languages from a family or script unseen during training. The authors explicitly identify two directions for future work that this project targets together: (i) extending coverage to genuinely low-resource languages, and (ii) developing more robust, language-agnostic methods for cross-script transfer, since “performances are heavily affected by the linguistic properties of the target languages.”</w:t>
      </w:r>
    </w:p>
    <w:p>
      <w:pPr>
        <w:pStyle w:val="Heading1"/>
        <w:spacing w:after="160" w:before="320"/>
      </w:pPr>
      <w:r>
        <w:t xml:space="preserve">2. Base Paper: Complete Summary</w:t>
      </w:r>
    </w:p>
    <w:p>
      <w:pPr>
        <w:spacing w:after="120"/>
      </w:pPr>
      <w:r>
        <w:rPr>
          <w:b/>
          <w:bCs/>
        </w:rPr>
        <w:t xml:space="preserve">Title: </w:t>
      </w:r>
      <w:r>
        <w:t xml:space="preserve">“Authorship Attribution in Multilingual Machine-Generated Texts”</w:t>
      </w:r>
    </w:p>
    <w:p>
      <w:pPr>
        <w:spacing w:after="120"/>
      </w:pPr>
      <w:r>
        <w:rPr>
          <w:b/>
          <w:bCs/>
        </w:rPr>
        <w:t xml:space="preserve">Authors: </w:t>
      </w:r>
      <w:r>
        <w:t xml:space="preserve">Lucio La Cava, Dominik Macko, Robert Moro, Ivan Srba, Andrea Tagarelli</w:t>
      </w:r>
    </w:p>
    <w:p>
      <w:pPr>
        <w:spacing w:after="120"/>
      </w:pPr>
      <w:r>
        <w:rPr>
          <w:b/>
          <w:bCs/>
        </w:rPr>
        <w:t xml:space="preserve">Venue: </w:t>
      </w:r>
      <w:r>
        <w:t xml:space="preserve">Proceedings of the 64th Annual Meeting of the Association for Computational Linguistics (ACL 2026), Volume 1: Long Papers, pp. 45136–45152.</w:t>
      </w:r>
    </w:p>
    <w:p>
      <w:pPr>
        <w:pStyle w:val="Heading2"/>
        <w:spacing w:after="120" w:before="240"/>
      </w:pPr>
      <w:r>
        <w:t xml:space="preserve">2.1 Problem Definition</w:t>
      </w:r>
    </w:p>
    <w:p>
      <w:pPr>
        <w:spacing w:after="160"/>
      </w:pPr>
      <w:r>
        <w:t xml:space="preserve">The paper formally defines two problems. ML-MGT (Multilingual Machine-Generated Text Attribution) is posed as multi-class classification: given a set of texts that are either human-written or generated by one of several LLMs, across multiple languages, learn a function that maps each text to its correct author (human, or one of the LLM classes). CL-MGT (Cross-Lingual Machine-Generated Text Attribution) is the special case where the set of languages used for training is a strict subset of the languages used for testing — i.e., the model must generalize to languages it has never seen.</w:t>
      </w:r>
    </w:p>
    <w:p>
      <w:pPr>
        <w:spacing w:after="160"/>
      </w:pPr>
      <w:r>
        <w:t xml:space="preserve">The paper investigates three research questions:</w:t>
      </w:r>
    </w:p>
    <w:p>
      <w:pPr>
        <w:pStyle w:val="ListParagraph"/>
        <w:numPr>
          <w:ilvl w:val="0"/>
          <w:numId w:val="1"/>
        </w:numPr>
        <w:spacing w:after="80"/>
      </w:pPr>
      <w:r>
        <w:t xml:space="preserve">RQ1: How effectively can existing authorship attribution methods handle multilingual machine-generated text?</w:t>
      </w:r>
    </w:p>
    <w:p>
      <w:pPr>
        <w:pStyle w:val="ListParagraph"/>
        <w:numPr>
          <w:ilvl w:val="0"/>
          <w:numId w:val="1"/>
        </w:numPr>
        <w:spacing w:after="80"/>
      </w:pPr>
      <w:r>
        <w:t xml:space="preserve">RQ2: To what extent can these methods transfer across different languages and language families?</w:t>
      </w:r>
    </w:p>
    <w:p>
      <w:pPr>
        <w:pStyle w:val="ListParagraph"/>
        <w:numPr>
          <w:ilvl w:val="0"/>
          <w:numId w:val="1"/>
        </w:numPr>
        <w:spacing w:after="80"/>
      </w:pPr>
      <w:r>
        <w:t xml:space="preserve">RQ3: How does the choice of generator model influence multilingual suitability and cross-lingual generalizability?</w:t>
      </w:r>
    </w:p>
    <w:p>
      <w:pPr>
        <w:pStyle w:val="Heading2"/>
        <w:spacing w:after="120" w:before="240"/>
      </w:pPr>
      <w:r>
        <w:t xml:space="preserve">2.2 Data</w:t>
      </w:r>
    </w:p>
    <w:p>
      <w:pPr>
        <w:spacing w:after="160"/>
      </w:pPr>
      <w:r>
        <w:t xml:space="preserve">The study uses the MULTITuDE v3 dataset, containing LLM-generated and human-written news articles (human text sourced from the MassiveSum collection). Machine-generated counterparts were produced by seven LLMs prompted with original article headlines: Mistral-7B-Instruct-v0.2, OPT-IML-Max-30B, v5-Eagle-7B-HF, Vicuna-13B, Llama-2-70B-Chat-HF, Aya-101, and GPT-3.5-Turbo-0125. Of the 21 languages available, 18 were selected for having fully balanced, sufficiently large sample coverage. These 18 languages span 8 language families (Germanic, Romance, Slavic-Latin, Slavic-Cyrillic, Hellenic, Uralic, Semitic, Sino-Tibetan) and 5 writing scripts (Latin, Cyrillic, Greek, Arabic, Hanzi), with roughly 143,000 training and 43,000 test samples in total, evenly split across the 8 classes (7 LLMs + human).</w:t>
      </w:r>
    </w:p>
    <w:p>
      <w:pPr>
        <w:pStyle w:val="Heading2"/>
        <w:spacing w:after="120" w:before="240"/>
      </w:pPr>
      <w:r>
        <w:t xml:space="preserve">2.3 Methods Evaluated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rPr>
          <w:tblHeader/>
        </w:trPr>
        <w:tc>
          <w:tcPr>
            <w:tcW w:type="dxa" w:w="2400"/>
            <w:shd w:fill="1F4E79" w:val="clear"/>
          </w:tcPr>
          <w:p>
            <w:r>
              <w:rPr>
                <w:b/>
                <w:bCs/>
                <w:color w:val="FFFFFF"/>
              </w:rPr>
              <w:t xml:space="preserve">Method</w:t>
            </w:r>
          </w:p>
        </w:tc>
        <w:tc>
          <w:tcPr>
            <w:tcW w:type="dxa" w:w="2400"/>
            <w:shd w:fill="1F4E79" w:val="clear"/>
          </w:tcPr>
          <w:p>
            <w:r>
              <w:rPr>
                <w:b/>
                <w:bCs/>
                <w:color w:val="FFFFFF"/>
              </w:rPr>
              <w:t xml:space="preserve">Family</w:t>
            </w:r>
          </w:p>
        </w:tc>
        <w:tc>
          <w:tcPr>
            <w:tcW w:type="dxa" w:w="4226"/>
            <w:shd w:fill="1F4E79" w:val="clear"/>
          </w:tcPr>
          <w:p>
            <w:r>
              <w:rPr>
                <w:b/>
                <w:bCs/>
                <w:color w:val="FFFFFF"/>
              </w:rPr>
              <w:t xml:space="preserve">Key idea</w:t>
            </w:r>
          </w:p>
        </w:tc>
      </w:tr>
      <w:tr>
        <w:tc>
          <w:tcPr>
            <w:tcW w:type="dxa" w:w="2400"/>
          </w:tcPr>
          <w:p>
            <w:r>
              <w:t xml:space="preserve">Fast-DetectGPT / Binoculars</w:t>
            </w:r>
          </w:p>
        </w:tc>
        <w:tc>
          <w:tcPr>
            <w:tcW w:type="dxa" w:w="2400"/>
          </w:tcPr>
          <w:p>
            <w:r>
              <w:t xml:space="preserve">Statistical, zero-shot</w:t>
            </w:r>
          </w:p>
        </w:tc>
        <w:tc>
          <w:tcPr>
            <w:tcW w:type="dxa" w:w="4226"/>
          </w:tcPr>
          <w:p>
            <w:r>
              <w:t xml:space="preserve">Extract statistical features (perplexity, rank, log-likelihood, etc.), classify with Logistic Regression</w:t>
            </w:r>
          </w:p>
        </w:tc>
      </w:tr>
      <w:tr>
        <w:tc>
          <w:tcPr>
            <w:tcW w:type="dxa" w:w="2400"/>
            <w:shd w:fill="F2F2F2" w:val="clear"/>
          </w:tcPr>
          <w:p>
            <w:r>
              <w:t xml:space="preserve">StatEnsemble</w:t>
            </w:r>
          </w:p>
        </w:tc>
        <w:tc>
          <w:tcPr>
            <w:tcW w:type="dxa" w:w="2400"/>
            <w:shd w:fill="F2F2F2" w:val="clear"/>
          </w:tcPr>
          <w:p>
            <w:r>
              <w:t xml:space="preserve">Statistical ensemble</w:t>
            </w:r>
          </w:p>
        </w:tc>
        <w:tc>
          <w:tcPr>
            <w:tcW w:type="dxa" w:w="4226"/>
            <w:shd w:fill="F2F2F2" w:val="clear"/>
          </w:tcPr>
          <w:p>
            <w:r>
              <w:t xml:space="preserve">Combines 9 statistical features into one MLP classifier</w:t>
            </w:r>
          </w:p>
        </w:tc>
      </w:tr>
      <w:tr>
        <w:tc>
          <w:tcPr>
            <w:tcW w:type="dxa" w:w="2400"/>
          </w:tcPr>
          <w:p>
            <w:r>
              <w:t xml:space="preserve">RoBERTa-large / XLM-RoBERTa-large</w:t>
            </w:r>
          </w:p>
        </w:tc>
        <w:tc>
          <w:tcPr>
            <w:tcW w:type="dxa" w:w="2400"/>
          </w:tcPr>
          <w:p>
            <w:r>
              <w:t xml:space="preserve">Fine-tuned encoder</w:t>
            </w:r>
          </w:p>
        </w:tc>
        <w:tc>
          <w:tcPr>
            <w:tcW w:type="dxa" w:w="4226"/>
          </w:tcPr>
          <w:p>
            <w:r>
              <w:t xml:space="preserve">English-only vs. multilingual pretrained transformer, fine-tuned for attribution</w:t>
            </w:r>
          </w:p>
        </w:tc>
      </w:tr>
      <w:tr>
        <w:tc>
          <w:tcPr>
            <w:tcW w:type="dxa" w:w="2400"/>
            <w:shd w:fill="F2F2F2" w:val="clear"/>
          </w:tcPr>
          <w:p>
            <w:r>
              <w:t xml:space="preserve">OTBDetector</w:t>
            </w:r>
          </w:p>
        </w:tc>
        <w:tc>
          <w:tcPr>
            <w:tcW w:type="dxa" w:w="2400"/>
            <w:shd w:fill="F2F2F2" w:val="clear"/>
          </w:tcPr>
          <w:p>
            <w:r>
              <w:t xml:space="preserve">Contrastive learner</w:t>
            </w:r>
          </w:p>
        </w:tc>
        <w:tc>
          <w:tcPr>
            <w:tcW w:type="dxa" w:w="4226"/>
            <w:shd w:fill="F2F2F2" w:val="clear"/>
          </w:tcPr>
          <w:p>
            <w:r>
              <w:t xml:space="preserve">Contrastive fine-tuning of XLM-RoBERTa-large to separate generator representations; best-performing method in OpenTuringBench (EMNLP 2025)</w:t>
            </w:r>
          </w:p>
        </w:tc>
      </w:tr>
      <w:tr>
        <w:tc>
          <w:tcPr>
            <w:tcW w:type="dxa" w:w="2400"/>
          </w:tcPr>
          <w:p>
            <w:r>
              <w:t xml:space="preserve">mdok / Qwen3-4B-Base</w:t>
            </w:r>
          </w:p>
        </w:tc>
        <w:tc>
          <w:tcPr>
            <w:tcW w:type="dxa" w:w="2400"/>
          </w:tcPr>
          <w:p>
            <w:r>
              <w:t xml:space="preserve">Fine-tuned decoder</w:t>
            </w:r>
          </w:p>
        </w:tc>
        <w:tc>
          <w:tcPr>
            <w:tcW w:type="dxa" w:w="4226"/>
          </w:tcPr>
          <w:p>
            <w:r>
              <w:t xml:space="preserve">QLoRA fine-tuning of a decoder LLM (Qwen3-4B-Base) with a multiclass classification head</w:t>
            </w:r>
          </w:p>
        </w:tc>
      </w:tr>
    </w:tbl>
    <w:p>
      <w:pPr>
        <w:pStyle w:val="Heading2"/>
        <w:spacing w:after="120" w:before="240"/>
      </w:pPr>
      <w:r>
        <w:t xml:space="preserve">2.4 Key Results</w:t>
      </w:r>
    </w:p>
    <w:p>
      <w:pPr>
        <w:pStyle w:val="ListParagraph"/>
        <w:numPr>
          <w:ilvl w:val="0"/>
          <w:numId w:val="1"/>
        </w:numPr>
        <w:spacing w:after="80"/>
      </w:pPr>
      <w:r>
        <w:t xml:space="preserve">On the ML-MGT task (RQ1), the three best methods — Qwen3-4B-Base, mdok, and OTBDetector — achieve macro-F1 above 0.90 across nearly all 18 languages, while purely statistical methods collapse (macro-F1 as low as 0.10–0.25), especially on non-Latin scripts.</w:t>
      </w:r>
    </w:p>
    <w:p>
      <w:pPr>
        <w:pStyle w:val="ListParagraph"/>
        <w:numPr>
          <w:ilvl w:val="0"/>
          <w:numId w:val="1"/>
        </w:numPr>
        <w:spacing w:after="80"/>
      </w:pPr>
      <w:r>
        <w:t xml:space="preserve">On the CL-MGT task (RQ2), training on Russian transfers best to other languages (+0.25 over English, +0.12 over Spanish in overall best results), attributed to Russian's richer inflectional morphology forcing models to learn deeper linguistic signals rather than superficial token patterns. English is the least generalizable training language.</w:t>
      </w:r>
    </w:p>
    <w:p>
      <w:pPr>
        <w:pStyle w:val="ListParagraph"/>
        <w:numPr>
          <w:ilvl w:val="0"/>
          <w:numId w:val="1"/>
        </w:numPr>
        <w:spacing w:after="80"/>
      </w:pPr>
      <w:r>
        <w:t xml:space="preserve">Cross-lingual transfer degrades sharply across dissimilar language families or scripts — the central limitation the paper highlights repeatedly.</w:t>
      </w:r>
    </w:p>
    <w:p>
      <w:pPr>
        <w:pStyle w:val="ListParagraph"/>
        <w:numPr>
          <w:ilvl w:val="0"/>
          <w:numId w:val="1"/>
        </w:numPr>
        <w:spacing w:after="80"/>
      </w:pPr>
      <w:r>
        <w:t xml:space="preserve">On generator influence (RQ3), Llama-2-70B and Vicuna-13B (architecturally related) are hardest to tell apart; human-written text remains comparatively easy to identify even across languages; OPT-30B and Eagle-7B become “catch-all” over-predicted classes when models are uncertain under cross-lingual transfer.</w:t>
      </w:r>
    </w:p>
    <w:p>
      <w:pPr>
        <w:pStyle w:val="Heading2"/>
        <w:spacing w:after="120" w:before="240"/>
      </w:pPr>
      <w:r>
        <w:t xml:space="preserve">2.5 Stated Limitations (the gaps this project targets)</w:t>
      </w:r>
    </w:p>
    <w:p>
      <w:pPr>
        <w:pStyle w:val="ListParagraph"/>
        <w:numPr>
          <w:ilvl w:val="0"/>
          <w:numId w:val="1"/>
        </w:numPr>
        <w:spacing w:after="80"/>
      </w:pPr>
      <w:r>
        <w:t xml:space="preserve">Language coverage: the 18 languages, while diverse, do not represent real-world linguistic diversity; the authors explicitly commit to extending to low-resource languages.</w:t>
      </w:r>
    </w:p>
    <w:p>
      <w:pPr>
        <w:pStyle w:val="ListParagraph"/>
        <w:numPr>
          <w:ilvl w:val="0"/>
          <w:numId w:val="1"/>
        </w:numPr>
        <w:spacing w:after="80"/>
      </w:pPr>
      <w:r>
        <w:t xml:space="preserve">The paper does not modify model architecture at all — every method evaluated is used exactly as designed for monolingual settings, simply retrained on multilingual data. No method is proposed that is specifically designed for cross-script transfer.</w:t>
      </w:r>
    </w:p>
    <w:p>
      <w:pPr>
        <w:pStyle w:val="ListParagraph"/>
        <w:numPr>
          <w:ilvl w:val="0"/>
          <w:numId w:val="1"/>
        </w:numPr>
        <w:spacing w:after="80"/>
      </w:pPr>
      <w:r>
        <w:t xml:space="preserve">Adversarial robustness (paraphrasing, obfuscation) is explicitly left untested.</w:t>
      </w:r>
    </w:p>
    <w:p>
      <w:pPr>
        <w:pStyle w:val="Heading1"/>
        <w:spacing w:after="160" w:before="320"/>
      </w:pPr>
      <w:r>
        <w:t xml:space="preserve">3. Our Novel Contribution</w:t>
      </w:r>
    </w:p>
    <w:p>
      <w:pPr>
        <w:pStyle w:val="Heading2"/>
        <w:spacing w:after="120" w:before="240"/>
      </w:pPr>
      <w:r>
        <w:t xml:space="preserve">3.1 Title of contribution</w:t>
      </w:r>
    </w:p>
    <w:p>
      <w:pPr>
        <w:spacing w:after="160"/>
      </w:pPr>
      <w:r>
        <w:rPr>
          <w:b/>
          <w:bCs/>
          <w:i/>
          <w:iCs/>
        </w:rPr>
        <w:t xml:space="preserve">Script-Family-Aware Contrastive Adapters (SFA-CA) for Cross-Lingual Authorship Attribution</w:t>
      </w:r>
    </w:p>
    <w:p>
      <w:pPr>
        <w:pStyle w:val="Heading2"/>
        <w:spacing w:after="120" w:before="240"/>
      </w:pPr>
      <w:r>
        <w:t xml:space="preserve">3.2 Core idea</w:t>
      </w:r>
    </w:p>
    <w:p>
      <w:pPr>
        <w:spacing w:after="160"/>
      </w:pPr>
      <w:r>
        <w:t xml:space="preserve">The base paper shows that attribution performance collapses specifically when a model must transfer across scripts or language families it has not seen (e.g., a model trained on Latin-script languages performing poorly on Cyrillic, Arabic, or Hanzi text). However, every method in the base paper treats all languages identically at the architecture level — there is no mechanism that explicitly models script or family structure. Our contribution closes this gap by inserting small, trainable Low-Rank Adaptation (LoRA) modules into a frozen multilingual backbone (XLM-RoBERTa-large or Qwen3-4B-Base), with one adapter assigned per script/family cluster (e.g., a Latin-script adapter, a Cyrillic-script adapter, a Semitic/Arabic-script adapter). At inference time on an unseen language, the closest-matching adapter (by script or typological similarity) is activated, allowing the frozen backbone's general multilingual knowledge to be steered by a lightweight, family-specific transformation.</w:t>
      </w:r>
    </w:p>
    <w:p>
      <w:pPr>
        <w:spacing w:after="160"/>
      </w:pPr>
      <w:r>
        <w:t xml:space="preserve">Training uses a modified contrastive loss (following the OTBDetector's contrastive learning strategy) that operates across two axes simultaneously: (1) it pulls together representations of texts from the same generator even when they are written in different scripts/families, so the model learns generator style independent of surface script, and (2) it pushes apart representations of different generators within the same family, sharpening the decision boundary where it matters most. This is a genuine architectural and objective-level novelty: the base paper never modifies the training objective or inserts any script-aware structure; it only evaluates existing methods as-is.</w:t>
      </w:r>
    </w:p>
    <w:p>
      <w:pPr>
        <w:pStyle w:val="Heading2"/>
        <w:spacing w:after="120" w:before="240"/>
      </w:pPr>
      <w:r>
        <w:t xml:space="preserve">3.3 Why this design</w:t>
      </w:r>
    </w:p>
    <w:p>
      <w:pPr>
        <w:pStyle w:val="ListParagraph"/>
        <w:numPr>
          <w:ilvl w:val="0"/>
          <w:numId w:val="1"/>
        </w:numPr>
        <w:spacing w:after="80"/>
      </w:pPr>
      <w:r>
        <w:t xml:space="preserve">Parameter efficiency: LoRA adapters are small (a few MB each), making it feasible to train multiple family-specific adapters on a single consumer/lab GPU within a semester timeline.</w:t>
      </w:r>
    </w:p>
    <w:p>
      <w:pPr>
        <w:pStyle w:val="ListParagraph"/>
        <w:numPr>
          <w:ilvl w:val="0"/>
          <w:numId w:val="1"/>
        </w:numPr>
        <w:spacing w:after="80"/>
      </w:pPr>
      <w:r>
        <w:t xml:space="preserve">Directly targets the base paper's own diagnosis: the paper attributes cross-script failure to distributional mismatch between the pretraining data of the backbone and non-Latin scripts; a dedicated adapter per script cluster is a direct architectural answer to that diagnosis.</w:t>
      </w:r>
    </w:p>
    <w:p>
      <w:pPr>
        <w:pStyle w:val="ListParagraph"/>
        <w:numPr>
          <w:ilvl w:val="0"/>
          <w:numId w:val="1"/>
        </w:numPr>
        <w:spacing w:after="80"/>
      </w:pPr>
      <w:r>
        <w:t xml:space="preserve">Reuses proven components: LoRA (Hu et al., ICLR 2022) and the adapter-per-language idea (Pfeiffer et al.'s MAD-X, EMNLP 2020) are both established, well-cited techniques — the novelty here is applying and adapting them specifically to script-family-aware cross-lingual authorship attribution, which has not been done in this domain.</w:t>
      </w:r>
    </w:p>
    <w:p>
      <w:pPr>
        <w:pStyle w:val="ListParagraph"/>
        <w:numPr>
          <w:ilvl w:val="0"/>
          <w:numId w:val="1"/>
        </w:numPr>
        <w:spacing w:after="80"/>
      </w:pPr>
      <w:r>
        <w:t xml:space="preserve">Testable, comparable claim: because the base paper already reports zero-shot cross-lingual results for the same backbone architectures (XLM-RoBERTa-large, OTBDetector), our adapter-augmented version can be directly compared against their reported numbers on the same benchmark, giving a clean “baseline vs. ours” table.</w:t>
      </w:r>
    </w:p>
    <w:p>
      <w:pPr>
        <w:pStyle w:val="Heading2"/>
        <w:spacing w:after="120" w:before="240"/>
      </w:pPr>
      <w:r>
        <w:t xml:space="preserve">3.4 Formal problem extension</w:t>
      </w:r>
    </w:p>
    <w:p>
      <w:pPr>
        <w:spacing w:after="160"/>
      </w:pPr>
      <w:r>
        <w:t xml:space="preserve">Building on the base paper's Problem 2 (CL-MGT), let S be a partition of the language set L into script/family clusters {S1, ..., Sk}. Instead of learning a single mapping f : X → Y for all languages, we learn a shared backbone g(·) plus a set of lightweight adapter functions {a1, ..., ak}, one per cluster, such that for a text x written in a language belonging to cluster Si, the attribution function is f(x) = h(g(x) + ai(g(x))), where h is the shared classification head. For a test language whose cluster was unseen during training, the closest cluster by script or typological distance is selected at inference time (a simple nearest-cluster heuristic), rather than falling back to the shared backbone alone.</w:t>
      </w:r>
    </w:p>
    <w:p>
      <w:pPr>
        <w:pStyle w:val="Heading1"/>
        <w:spacing w:after="160" w:before="320"/>
      </w:pPr>
      <w:r>
        <w:t xml:space="preserve">4. Related Work and Key Reference Papers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4026"/>
      </w:tblGrid>
      <w:tr>
        <w:trPr>
          <w:tblHeader/>
        </w:trPr>
        <w:tc>
          <w:tcPr>
            <w:tcW w:type="dxa" w:w="3400"/>
            <w:shd w:fill="1F4E79" w:val="clear"/>
          </w:tcPr>
          <w:p>
            <w:r>
              <w:rPr>
                <w:b/>
                <w:bCs/>
                <w:color w:val="FFFFFF"/>
              </w:rPr>
              <w:t xml:space="preserve">Paper</w:t>
            </w:r>
          </w:p>
        </w:tc>
        <w:tc>
          <w:tcPr>
            <w:tcW w:type="dxa" w:w="1600"/>
            <w:shd w:fill="1F4E79" w:val="clear"/>
          </w:tcPr>
          <w:p>
            <w:r>
              <w:rPr>
                <w:b/>
                <w:bCs/>
                <w:color w:val="FFFFFF"/>
              </w:rPr>
              <w:t xml:space="preserve">Venue</w:t>
            </w:r>
          </w:p>
        </w:tc>
        <w:tc>
          <w:tcPr>
            <w:tcW w:type="dxa" w:w="4026"/>
            <w:shd w:fill="1F4E79" w:val="clear"/>
          </w:tcPr>
          <w:p>
            <w:r>
              <w:rPr>
                <w:b/>
                <w:bCs/>
                <w:color w:val="FFFFFF"/>
              </w:rPr>
              <w:t xml:space="preserve">Role in this project</w:t>
            </w:r>
          </w:p>
        </w:tc>
      </w:tr>
      <w:tr>
        <w:tc>
          <w:tcPr>
            <w:tcW w:type="dxa" w:w="3400"/>
          </w:tcPr>
          <w:p>
            <w:r>
              <w:t xml:space="preserve">La Cava et al., “Authorship Attribution in Multilingual Machine-Generated Texts”</w:t>
            </w:r>
          </w:p>
        </w:tc>
        <w:tc>
          <w:tcPr>
            <w:tcW w:type="dxa" w:w="1600"/>
          </w:tcPr>
          <w:p>
            <w:r>
              <w:t xml:space="preserve">ACL 2026</w:t>
            </w:r>
          </w:p>
        </w:tc>
        <w:tc>
          <w:tcPr>
            <w:tcW w:type="dxa" w:w="4026"/>
          </w:tcPr>
          <w:p>
            <w:r>
              <w:t xml:space="preserve">Primary base paper: problem definition, dataset selection rationale, baseline methods and results to compare against</w:t>
            </w:r>
          </w:p>
        </w:tc>
      </w:tr>
      <w:tr>
        <w:tc>
          <w:tcPr>
            <w:tcW w:type="dxa" w:w="3400"/>
            <w:shd w:fill="F2F2F2" w:val="clear"/>
          </w:tcPr>
          <w:p>
            <w:r>
              <w:t xml:space="preserve">Macko et al., “MULTITuDE: Large-Scale Multilingual MGT Detection Benchmark”</w:t>
            </w:r>
          </w:p>
        </w:tc>
        <w:tc>
          <w:tcPr>
            <w:tcW w:type="dxa" w:w="1600"/>
            <w:shd w:fill="F2F2F2" w:val="clear"/>
          </w:tcPr>
          <w:p>
            <w:r>
              <w:t xml:space="preserve">EMNLP 2023</w:t>
            </w:r>
          </w:p>
        </w:tc>
        <w:tc>
          <w:tcPr>
            <w:tcW w:type="dxa" w:w="4026"/>
            <w:shd w:fill="F2F2F2" w:val="clear"/>
          </w:tcPr>
          <w:p>
            <w:r>
              <w:t xml:space="preserve">Source dataset (v3) reused and extended with new low-resource-language data</w:t>
            </w:r>
          </w:p>
        </w:tc>
      </w:tr>
      <w:tr>
        <w:tc>
          <w:tcPr>
            <w:tcW w:type="dxa" w:w="3400"/>
          </w:tcPr>
          <w:p>
            <w:r>
              <w:t xml:space="preserve">Crothers, Japkowicz &amp; Viktor, “Machine-Generated Text: A Comprehensive Survey of Threat Models and Detection Methods”</w:t>
            </w:r>
          </w:p>
        </w:tc>
        <w:tc>
          <w:tcPr>
            <w:tcW w:type="dxa" w:w="1600"/>
          </w:tcPr>
          <w:p>
            <w:r>
              <w:t xml:space="preserve">IEEE Access, 2023</w:t>
            </w:r>
          </w:p>
        </w:tc>
        <w:tc>
          <w:tcPr>
            <w:tcW w:type="dxa" w:w="4026"/>
          </w:tcPr>
          <w:p>
            <w:r>
              <w:t xml:space="preserve">Forensic/threat-model framing for the Introduction</w:t>
            </w:r>
          </w:p>
        </w:tc>
      </w:tr>
      <w:tr>
        <w:tc>
          <w:tcPr>
            <w:tcW w:type="dxa" w:w="3400"/>
            <w:shd w:fill="F2F2F2" w:val="clear"/>
          </w:tcPr>
          <w:p>
            <w:r>
              <w:t xml:space="preserve">Hu et al., “LoRA: Low-Rank Adaptation of Large Language Models”</w:t>
            </w:r>
          </w:p>
        </w:tc>
        <w:tc>
          <w:tcPr>
            <w:tcW w:type="dxa" w:w="1600"/>
            <w:shd w:fill="F2F2F2" w:val="clear"/>
          </w:tcPr>
          <w:p>
            <w:r>
              <w:t xml:space="preserve">ICLR 2022</w:t>
            </w:r>
          </w:p>
        </w:tc>
        <w:tc>
          <w:tcPr>
            <w:tcW w:type="dxa" w:w="4026"/>
            <w:shd w:fill="F2F2F2" w:val="clear"/>
          </w:tcPr>
          <w:p>
            <w:r>
              <w:t xml:space="preserve">Core parameter-efficient fine-tuning mechanism used to build our script-family adapters</w:t>
            </w:r>
          </w:p>
        </w:tc>
      </w:tr>
      <w:tr>
        <w:tc>
          <w:tcPr>
            <w:tcW w:type="dxa" w:w="3400"/>
          </w:tcPr>
          <w:p>
            <w:r>
              <w:t xml:space="preserve">Pfeiffer et al., “MAD-X: An Adapter-Based Framework for Multi-Task Cross-Lingual Transfer”</w:t>
            </w:r>
          </w:p>
        </w:tc>
        <w:tc>
          <w:tcPr>
            <w:tcW w:type="dxa" w:w="1600"/>
          </w:tcPr>
          <w:p>
            <w:r>
              <w:t xml:space="preserve">EMNLP 2020</w:t>
            </w:r>
          </w:p>
        </w:tc>
        <w:tc>
          <w:tcPr>
            <w:tcW w:type="dxa" w:w="4026"/>
          </w:tcPr>
          <w:p>
            <w:r>
              <w:t xml:space="preserve">Architectural precedent for language/family-specific adapters stacked on a shared backbone</w:t>
            </w:r>
          </w:p>
        </w:tc>
      </w:tr>
      <w:tr>
        <w:tc>
          <w:tcPr>
            <w:tcW w:type="dxa" w:w="3400"/>
            <w:shd w:fill="F2F2F2" w:val="clear"/>
          </w:tcPr>
          <w:p>
            <w:r>
              <w:t xml:space="preserve">La Cava &amp; Tagarelli, “OpenTuringBench”</w:t>
            </w:r>
          </w:p>
        </w:tc>
        <w:tc>
          <w:tcPr>
            <w:tcW w:type="dxa" w:w="1600"/>
            <w:shd w:fill="F2F2F2" w:val="clear"/>
          </w:tcPr>
          <w:p>
            <w:r>
              <w:t xml:space="preserve">EMNLP 2025</w:t>
            </w:r>
          </w:p>
        </w:tc>
        <w:tc>
          <w:tcPr>
            <w:tcW w:type="dxa" w:w="4026"/>
            <w:shd w:fill="F2F2F2" w:val="clear"/>
          </w:tcPr>
          <w:p>
            <w:r>
              <w:t xml:space="preserve">Source of the OTBDetector contrastive method and loss formulation we adapt</w:t>
            </w:r>
          </w:p>
        </w:tc>
      </w:tr>
    </w:tbl>
    <w:p>
      <w:pPr>
        <w:pStyle w:val="Heading1"/>
        <w:spacing w:after="160" w:before="320"/>
      </w:pPr>
      <w:r>
        <w:t xml:space="preserve">5. Methodology</w:t>
      </w:r>
    </w:p>
    <w:p>
      <w:pPr>
        <w:pStyle w:val="Heading2"/>
        <w:spacing w:after="120" w:before="240"/>
      </w:pPr>
      <w:r>
        <w:t xml:space="preserve">5.1 Data</w:t>
      </w:r>
    </w:p>
    <w:p>
      <w:pPr>
        <w:pStyle w:val="ListParagraph"/>
        <w:numPr>
          <w:ilvl w:val="0"/>
          <w:numId w:val="1"/>
        </w:numPr>
        <w:spacing w:after="80"/>
      </w:pPr>
      <w:r>
        <w:t xml:space="preserve">Reuse the MULTITuDE v3 dataset (18 languages, 8 classes) exactly as used in the base paper, to allow direct, apples-to-apples comparison of results.</w:t>
      </w:r>
    </w:p>
    <w:p>
      <w:pPr>
        <w:pStyle w:val="ListParagraph"/>
        <w:numPr>
          <w:ilvl w:val="0"/>
          <w:numId w:val="1"/>
        </w:numPr>
        <w:spacing w:after="80"/>
      </w:pPr>
      <w:r>
        <w:t xml:space="preserve">Construct a small extension dataset covering 2–3 additional low-resource languages not in MULTITuDE (e.g., from Dravidian, Bantu, or other underrepresented families), following the same generation protocol: human headlines from an open news-summarization corpus, machine counterparts generated by a feasible subset of the same or comparable LLM families.</w:t>
      </w:r>
    </w:p>
    <w:p>
      <w:pPr>
        <w:pStyle w:val="ListParagraph"/>
        <w:numPr>
          <w:ilvl w:val="0"/>
          <w:numId w:val="1"/>
        </w:numPr>
        <w:spacing w:after="80"/>
      </w:pPr>
      <w:r>
        <w:t xml:space="preserve">Define script/family clusters for the adapter design: e.g., Latin, Cyrillic, Greek, Arabic, Hanzi (from the base paper) plus one or two new clusters introduced by the low-resource languages.</w:t>
      </w:r>
    </w:p>
    <w:p>
      <w:pPr>
        <w:pStyle w:val="Heading2"/>
        <w:spacing w:after="120" w:before="240"/>
      </w:pPr>
      <w:r>
        <w:t xml:space="preserve">5.2 Model architecture</w:t>
      </w:r>
    </w:p>
    <w:p>
      <w:pPr>
        <w:pStyle w:val="ListParagraph"/>
        <w:numPr>
          <w:ilvl w:val="0"/>
          <w:numId w:val="1"/>
        </w:numPr>
        <w:spacing w:after="80"/>
      </w:pPr>
      <w:r>
        <w:t xml:space="preserve">Backbone: frozen XLM-RoBERTa-large (matching the base paper's OTBDetector backbone, for direct comparability).</w:t>
      </w:r>
    </w:p>
    <w:p>
      <w:pPr>
        <w:pStyle w:val="ListParagraph"/>
        <w:numPr>
          <w:ilvl w:val="0"/>
          <w:numId w:val="1"/>
        </w:numPr>
        <w:spacing w:after="80"/>
      </w:pPr>
      <w:r>
        <w:t xml:space="preserve">Adapters: one LoRA module per script/family cluster, inserted into the attention layers of the backbone, trained independently per cluster on that cluster's training languages.</w:t>
      </w:r>
    </w:p>
    <w:p>
      <w:pPr>
        <w:pStyle w:val="ListParagraph"/>
        <w:numPr>
          <w:ilvl w:val="0"/>
          <w:numId w:val="1"/>
        </w:numPr>
        <w:spacing w:after="80"/>
      </w:pPr>
      <w:r>
        <w:t xml:space="preserve">Classification head: shared multi-class head on top of the (backbone + active adapter) representation, following the base paper's 8-class setup (7 LLMs + human).</w:t>
      </w:r>
    </w:p>
    <w:p>
      <w:pPr>
        <w:pStyle w:val="Heading2"/>
        <w:spacing w:after="120" w:before="240"/>
      </w:pPr>
      <w:r>
        <w:t xml:space="preserve">5.3 Training objective</w:t>
      </w:r>
    </w:p>
    <w:p>
      <w:pPr>
        <w:spacing w:after="160"/>
      </w:pPr>
      <w:r>
        <w:t xml:space="preserve">We use a contrastive loss that pulls together same-generator pairs regardless of script/family and pushes apart different-generator pairs within the same cluster, extending the contrastive strategy used by OTBDetector. Concretely, for a batch of texts we construct positive pairs (same generator, potentially different clusters) and negative pairs (different generator, same cluster), and optimize the adapters and classification head jointly while keeping the backbone frozen.</w:t>
      </w:r>
    </w:p>
    <w:p>
      <w:pPr>
        <w:pStyle w:val="Heading2"/>
        <w:spacing w:after="120" w:before="240"/>
      </w:pPr>
      <w:r>
        <w:t xml:space="preserve">5.4 Experimental design</w:t>
      </w:r>
    </w:p>
    <w:p>
      <w:pPr>
        <w:spacing w:after="120"/>
      </w:pPr>
      <w:r>
        <w:rPr>
          <w:b/>
          <w:bCs/>
        </w:rPr>
        <w:t xml:space="preserve">Experiment 1 (ML-MGT, in-cluster): </w:t>
      </w:r>
      <w:r>
        <w:t xml:space="preserve">Train and test each script-family adapter on its own cluster's languages; report macro-F1 per language, directly comparable to the base paper's Table 2.</w:t>
      </w:r>
    </w:p>
    <w:p>
      <w:pPr>
        <w:spacing w:after="120"/>
      </w:pPr>
      <w:r>
        <w:rPr>
          <w:b/>
          <w:bCs/>
        </w:rPr>
        <w:t xml:space="preserve">Experiment 2 (CL-MGT, zero-shot transfer): </w:t>
      </w:r>
      <w:r>
        <w:t xml:space="preserve">Evaluate adapters on languages from clusters not seen during training, using the nearest-cluster heuristic, and compare against the base paper's zero-shot transfer numbers (Table 3) for the same backbone without adapters.</w:t>
      </w:r>
    </w:p>
    <w:p>
      <w:pPr>
        <w:spacing w:after="120"/>
      </w:pPr>
      <w:r>
        <w:rPr>
          <w:b/>
          <w:bCs/>
        </w:rPr>
        <w:t xml:space="preserve">Experiment 3 (Low-resource extension): </w:t>
      </w:r>
      <w:r>
        <w:t xml:space="preserve">Apply the full SFA-CA pipeline to the newly constructed low-resource-language data, both in-cluster and cross-cluster, to test whether the method's benefits hold outside the base paper's original 18 languages.</w:t>
      </w:r>
    </w:p>
    <w:p>
      <w:pPr>
        <w:spacing w:after="120"/>
      </w:pPr>
      <w:r>
        <w:rPr>
          <w:b/>
          <w:bCs/>
        </w:rPr>
        <w:t xml:space="preserve">Experiment 4 (Ablation): </w:t>
      </w:r>
      <w:r>
        <w:t xml:space="preserve">Compare full SFA-CA against (a) the shared backbone with no adapters (replicating the base paper's OTBDetector), and (b) a single shared adapter for all languages (no script-family separation), to isolate exactly how much benefit comes from the script-family-aware design specifically.</w:t>
      </w:r>
    </w:p>
    <w:p>
      <w:pPr>
        <w:pStyle w:val="Heading2"/>
        <w:spacing w:after="120" w:before="240"/>
      </w:pPr>
      <w:r>
        <w:t xml:space="preserve">5.5 Evaluation metrics</w:t>
      </w:r>
    </w:p>
    <w:p>
      <w:pPr>
        <w:pStyle w:val="ListParagraph"/>
        <w:numPr>
          <w:ilvl w:val="0"/>
          <w:numId w:val="1"/>
        </w:numPr>
        <w:spacing w:after="80"/>
      </w:pPr>
      <w:r>
        <w:t xml:space="preserve">Macro-averaged F1 (primary metric, matching the base paper for direct comparability).</w:t>
      </w:r>
    </w:p>
    <w:p>
      <w:pPr>
        <w:pStyle w:val="ListParagraph"/>
        <w:numPr>
          <w:ilvl w:val="0"/>
          <w:numId w:val="1"/>
        </w:numPr>
        <w:spacing w:after="80"/>
      </w:pPr>
      <w:r>
        <w:t xml:space="preserve">Per-class F1 (per generator) to detect which LLMs remain hardest to attribute.</w:t>
      </w:r>
    </w:p>
    <w:p>
      <w:pPr>
        <w:pStyle w:val="ListParagraph"/>
        <w:numPr>
          <w:ilvl w:val="0"/>
          <w:numId w:val="1"/>
        </w:numPr>
        <w:spacing w:after="80"/>
      </w:pPr>
      <w:r>
        <w:t xml:space="preserve">Confusion matrices for qualitative error analysis, following the base paper's Internal vs. External evaluation split.</w:t>
      </w:r>
    </w:p>
    <w:p>
      <w:pPr>
        <w:pStyle w:val="ListParagraph"/>
        <w:numPr>
          <w:ilvl w:val="0"/>
          <w:numId w:val="1"/>
        </w:numPr>
        <w:spacing w:after="80"/>
      </w:pPr>
      <w:r>
        <w:t xml:space="preserve">Parameter count and training time overhead of the adapters, to report the efficiency trade-off versus full fine-tuning.</w:t>
      </w:r>
    </w:p>
    <w:p>
      <w:pPr>
        <w:pStyle w:val="Heading1"/>
        <w:spacing w:after="160" w:before="320"/>
      </w:pPr>
      <w:r>
        <w:t xml:space="preserve">6. Publishability Assessment</w:t>
      </w:r>
    </w:p>
    <w:p>
      <w:pPr>
        <w:spacing w:after="160"/>
      </w:pPr>
      <w:r>
        <w:t xml:space="preserve">Whether this work is ultimately accepted at a venue depends on peer review and cannot be guaranteed. However, the project is designed to maximize genuine publishability by contributing a new method rather than only new data. Specifically:</w:t>
      </w:r>
    </w:p>
    <w:p>
      <w:pPr>
        <w:pStyle w:val="ListParagraph"/>
        <w:numPr>
          <w:ilvl w:val="0"/>
          <w:numId w:val="1"/>
        </w:numPr>
        <w:spacing w:after="80"/>
      </w:pPr>
      <w:r>
        <w:t xml:space="preserve">It proposes an architectural and training-objective novelty (script-family-aware contrastive adapters) that the base paper explicitly does not attempt — the base paper only evaluates existing, unmodified methods.</w:t>
      </w:r>
    </w:p>
    <w:p>
      <w:pPr>
        <w:pStyle w:val="ListParagraph"/>
        <w:numPr>
          <w:ilvl w:val="0"/>
          <w:numId w:val="1"/>
        </w:numPr>
        <w:spacing w:after="80"/>
      </w:pPr>
      <w:r>
        <w:t xml:space="preserve">It directly targets two gaps the base paper's own authors name as future work (low-resource coverage and robust cross-script transfer), giving a clear, citable motivation rather than an arbitrary extension.</w:t>
      </w:r>
    </w:p>
    <w:p>
      <w:pPr>
        <w:pStyle w:val="ListParagraph"/>
        <w:numPr>
          <w:ilvl w:val="0"/>
          <w:numId w:val="1"/>
        </w:numPr>
        <w:spacing w:after="80"/>
      </w:pPr>
      <w:r>
        <w:t xml:space="preserve">It allows direct, numeric comparison against a very recent, strong, top-venue baseline (ACL 2026), which reviewers value highly.</w:t>
      </w:r>
    </w:p>
    <w:p>
      <w:pPr>
        <w:pStyle w:val="ListParagraph"/>
        <w:numPr>
          <w:ilvl w:val="0"/>
          <w:numId w:val="1"/>
        </w:numPr>
        <w:spacing w:after="80"/>
      </w:pPr>
      <w:r>
        <w:t xml:space="preserve">Realistic target venues given the project's scope and available compute: ACL Student Research Workshop, GenAIDetect workshop, LoResMT workshop, or solid regional/IEEE conference tracks on NLP and AI (e.g., IEEE IJCNN, ICACCS, ICCCNT) rather than a top-tier main conference track on the first attempt.</w:t>
      </w:r>
    </w:p>
    <w:p>
      <w:pPr>
        <w:pStyle w:val="Heading1"/>
        <w:spacing w:after="160" w:before="320"/>
      </w:pPr>
      <w:r>
        <w:t xml:space="preserve">7. Timeline (14 weeks)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shd w:fill="1F4E79" w:val="clear"/>
          </w:tcPr>
          <w:p>
            <w:r>
              <w:rPr>
                <w:b/>
                <w:bCs/>
                <w:color w:val="FFFFFF"/>
              </w:rPr>
              <w:t xml:space="preserve">Weeks</w:t>
            </w:r>
          </w:p>
        </w:tc>
        <w:tc>
          <w:tcPr>
            <w:tcW w:type="dxa" w:w="7226"/>
            <w:shd w:fill="1F4E79" w:val="clear"/>
          </w:tcPr>
          <w:p>
            <w:r>
              <w:rPr>
                <w:b/>
                <w:bCs/>
                <w:color w:val="FFFFFF"/>
              </w:rPr>
              <w:t xml:space="preserve">Milestone</w:t>
            </w:r>
          </w:p>
        </w:tc>
      </w:tr>
      <w:tr>
        <w:tc>
          <w:tcPr>
            <w:tcW w:type="dxa" w:w="1800"/>
          </w:tcPr>
          <w:p>
            <w:r>
              <w:t xml:space="preserve">1–2</w:t>
            </w:r>
          </w:p>
        </w:tc>
        <w:tc>
          <w:tcPr>
            <w:tcW w:type="dxa" w:w="7226"/>
          </w:tcPr>
          <w:p>
            <w:r>
              <w:t xml:space="preserve">Literature review; reproduce base paper's OTBDetector and XLM-RoBERTa-large results on MULTITuDE as a sanity check</w:t>
            </w:r>
          </w:p>
        </w:tc>
      </w:tr>
      <w:tr>
        <w:tc>
          <w:tcPr>
            <w:tcW w:type="dxa" w:w="1800"/>
            <w:shd w:fill="F2F2F2" w:val="clear"/>
          </w:tcPr>
          <w:p>
            <w:r>
              <w:t xml:space="preserve">3–4</w:t>
            </w:r>
          </w:p>
        </w:tc>
        <w:tc>
          <w:tcPr>
            <w:tcW w:type="dxa" w:w="7226"/>
            <w:shd w:fill="F2F2F2" w:val="clear"/>
          </w:tcPr>
          <w:p>
            <w:r>
              <w:t xml:space="preserve">Implement LoRA adapter infrastructure; define script/family clusters; implement contrastive training loop</w:t>
            </w:r>
          </w:p>
        </w:tc>
      </w:tr>
      <w:tr>
        <w:tc>
          <w:tcPr>
            <w:tcW w:type="dxa" w:w="1800"/>
          </w:tcPr>
          <w:p>
            <w:r>
              <w:t xml:space="preserve">5–7</w:t>
            </w:r>
          </w:p>
        </w:tc>
        <w:tc>
          <w:tcPr>
            <w:tcW w:type="dxa" w:w="7226"/>
          </w:tcPr>
          <w:p>
            <w:r>
              <w:t xml:space="preserve">Train SFA-CA on MULTITuDE's 18 languages; run Experiment 1 (in-cluster ML-MGT)</w:t>
            </w:r>
          </w:p>
        </w:tc>
      </w:tr>
      <w:tr>
        <w:tc>
          <w:tcPr>
            <w:tcW w:type="dxa" w:w="1800"/>
            <w:shd w:fill="F2F2F2" w:val="clear"/>
          </w:tcPr>
          <w:p>
            <w:r>
              <w:t xml:space="preserve">8–9</w:t>
            </w:r>
          </w:p>
        </w:tc>
        <w:tc>
          <w:tcPr>
            <w:tcW w:type="dxa" w:w="7226"/>
            <w:shd w:fill="F2F2F2" w:val="clear"/>
          </w:tcPr>
          <w:p>
            <w:r>
              <w:t xml:space="preserve">Run Experiment 2 (zero-shot cross-cluster transfer); compare against base paper's Table 3</w:t>
            </w:r>
          </w:p>
        </w:tc>
      </w:tr>
      <w:tr>
        <w:tc>
          <w:tcPr>
            <w:tcW w:type="dxa" w:w="1800"/>
          </w:tcPr>
          <w:p>
            <w:r>
              <w:t xml:space="preserve">10–11</w:t>
            </w:r>
          </w:p>
        </w:tc>
        <w:tc>
          <w:tcPr>
            <w:tcW w:type="dxa" w:w="7226"/>
          </w:tcPr>
          <w:p>
            <w:r>
              <w:t xml:space="preserve">Collect/generate low-resource-language extension data; run Experiment 3</w:t>
            </w:r>
          </w:p>
        </w:tc>
      </w:tr>
      <w:tr>
        <w:tc>
          <w:tcPr>
            <w:tcW w:type="dxa" w:w="1800"/>
            <w:shd w:fill="F2F2F2" w:val="clear"/>
          </w:tcPr>
          <w:p>
            <w:r>
              <w:t xml:space="preserve">12</w:t>
            </w:r>
          </w:p>
        </w:tc>
        <w:tc>
          <w:tcPr>
            <w:tcW w:type="dxa" w:w="7226"/>
            <w:shd w:fill="F2F2F2" w:val="clear"/>
          </w:tcPr>
          <w:p>
            <w:r>
              <w:t xml:space="preserve">Run Experiment 4 (ablation); consolidate all results into comparison tables</w:t>
            </w:r>
          </w:p>
        </w:tc>
      </w:tr>
      <w:tr>
        <w:tc>
          <w:tcPr>
            <w:tcW w:type="dxa" w:w="1800"/>
          </w:tcPr>
          <w:p>
            <w:r>
              <w:t xml:space="preserve">13–14</w:t>
            </w:r>
          </w:p>
        </w:tc>
        <w:tc>
          <w:tcPr>
            <w:tcW w:type="dxa" w:w="7226"/>
          </w:tcPr>
          <w:p>
            <w:r>
              <w:t xml:space="preserve">Write report/paper draft; prepare figures, confusion matrices, and submission (if targeting a workshop)</w:t>
            </w:r>
          </w:p>
        </w:tc>
      </w:tr>
    </w:tbl>
    <w:p>
      <w:pPr>
        <w:pStyle w:val="Heading1"/>
        <w:spacing w:after="160" w:before="320"/>
      </w:pPr>
      <w:r>
        <w:t xml:space="preserve">8. Expected Contributions</w:t>
      </w:r>
    </w:p>
    <w:p>
      <w:pPr>
        <w:pStyle w:val="ListParagraph"/>
        <w:numPr>
          <w:ilvl w:val="0"/>
          <w:numId w:val="1"/>
        </w:numPr>
        <w:spacing w:after="80"/>
      </w:pPr>
      <w:r>
        <w:t xml:space="preserve">A novel, lightweight, script-family-aware adapter method for cross-lingual authorship attribution, directly comparable to a strong ACL 2026 baseline.</w:t>
      </w:r>
    </w:p>
    <w:p>
      <w:pPr>
        <w:pStyle w:val="ListParagraph"/>
        <w:numPr>
          <w:ilvl w:val="0"/>
          <w:numId w:val="1"/>
        </w:numPr>
        <w:spacing w:after="80"/>
      </w:pPr>
      <w:r>
        <w:t xml:space="preserve">Empirical evidence on whether explicit script/family structure in the architecture improves cross-lingual transfer beyond what a shared multilingual backbone alone achieves.</w:t>
      </w:r>
    </w:p>
    <w:p>
      <w:pPr>
        <w:pStyle w:val="ListParagraph"/>
        <w:numPr>
          <w:ilvl w:val="0"/>
          <w:numId w:val="1"/>
        </w:numPr>
        <w:spacing w:after="80"/>
      </w:pPr>
      <w:r>
        <w:t xml:space="preserve">A small, original low-resource-language dataset extending MULTITuDE's coverage, addressing a gap the original authors flagged themselves.</w:t>
      </w:r>
    </w:p>
    <w:p>
      <w:pPr>
        <w:pStyle w:val="ListParagraph"/>
        <w:numPr>
          <w:ilvl w:val="0"/>
          <w:numId w:val="1"/>
        </w:numPr>
        <w:spacing w:after="80"/>
      </w:pPr>
      <w:r>
        <w:t xml:space="preserve">A reusable, open codebase (adapter training pipeline + evaluation scripts) that can be extended by future students.</w:t>
      </w:r>
    </w:p>
    <w:p>
      <w:pPr>
        <w:pStyle w:val="Heading1"/>
        <w:spacing w:after="160" w:before="320"/>
      </w:pPr>
      <w:r>
        <w:t xml:space="preserve">9. Anticipated Limitations</w:t>
      </w:r>
    </w:p>
    <w:p>
      <w:pPr>
        <w:pStyle w:val="ListParagraph"/>
        <w:numPr>
          <w:ilvl w:val="0"/>
          <w:numId w:val="1"/>
        </w:numPr>
        <w:spacing w:after="80"/>
      </w:pPr>
      <w:r>
        <w:t xml:space="preserve">Adapter cluster boundaries (script/family groupings) are a design choice; results may be sensitive to how clusters are defined, which should be tested via the ablation experiment.</w:t>
      </w:r>
    </w:p>
    <w:p>
      <w:pPr>
        <w:pStyle w:val="ListParagraph"/>
        <w:numPr>
          <w:ilvl w:val="0"/>
          <w:numId w:val="1"/>
        </w:numPr>
        <w:spacing w:after="80"/>
      </w:pPr>
      <w:r>
        <w:t xml:space="preserve">Low-resource-language data quality depends on how well available LLMs support those languages; this itself is a relevant finding rather than only a constraint.</w:t>
      </w:r>
    </w:p>
    <w:p>
      <w:pPr>
        <w:pStyle w:val="ListParagraph"/>
        <w:numPr>
          <w:ilvl w:val="0"/>
          <w:numId w:val="1"/>
        </w:numPr>
        <w:spacing w:after="80"/>
      </w:pPr>
      <w:r>
        <w:t xml:space="preserve">Compute is limited to a single GPU setup, so the number of adapters and clusters tested may need to stay modest compared to the base paper's 18-language, 8-family coverage.</w:t>
      </w:r>
    </w:p>
    <w:p>
      <w:pPr>
        <w:pStyle w:val="ListParagraph"/>
        <w:numPr>
          <w:ilvl w:val="0"/>
          <w:numId w:val="1"/>
        </w:numPr>
        <w:spacing w:after="80"/>
      </w:pPr>
      <w:r>
        <w:t xml:space="preserve">As with the base paper, this project does not address adversarial robustness (paraphrasing, obfuscation); this remains future work.</w:t>
      </w:r>
    </w:p>
    <w:p>
      <w:pPr>
        <w:pStyle w:val="Heading1"/>
        <w:spacing w:after="160" w:before="320"/>
      </w:pPr>
      <w:r>
        <w:t xml:space="preserve">10. References</w:t>
      </w:r>
    </w:p>
    <w:p>
      <w:pPr>
        <w:spacing w:after="160"/>
      </w:pPr>
      <w:r>
        <w:t xml:space="preserve">La Cava, L., Macko, D., Moro, R., Srba, I., &amp; Tagarelli, A. (2026). Authorship Attribution in Multilingual Machine-Generated Texts. Proceedings of the 64th Annual Meeting of the Association for Computational Linguistics (Volume 1: Long Papers), 45136–45152. Association for Computational Linguistics.</w:t>
      </w:r>
    </w:p>
    <w:p>
      <w:pPr>
        <w:spacing w:after="160"/>
      </w:pPr>
      <w:r>
        <w:t xml:space="preserve">Macko, D., Moro, R., Uchendu, A., Lucas, J., Yamashita, M., Pikuliak, M., Srba, I., Le, T., Lee, D., Simko, J., &amp; Bielikova, M. (2023). MULTITuDE: Large-Scale Multilingual Machine-Generated Text Detection Benchmark. Proceedings of the 2023 Conference on Empirical Methods in Natural Language Processing, 9960–9987.</w:t>
      </w:r>
    </w:p>
    <w:p>
      <w:pPr>
        <w:spacing w:after="160"/>
      </w:pPr>
      <w:r>
        <w:t xml:space="preserve">Crothers, E. N., Japkowicz, N., &amp; Viktor, H. L. (2023). Machine-Generated Text: A Comprehensive Survey of Threat Models and Detection Methods. IEEE Access, 11, 70977–71002.</w:t>
      </w:r>
    </w:p>
    <w:p>
      <w:pPr>
        <w:spacing w:after="160"/>
      </w:pPr>
      <w:r>
        <w:t xml:space="preserve">Hu, E. J., Shen, Y., Wallis, P., Allen-Zhu, Z., Li, Y., Wang, S., Wang, L., &amp; Chen, W. (2022). LoRA: Low-Rank Adaptation of Large Language Models. International Conference on Learning Representations (ICLR 2022).</w:t>
      </w:r>
    </w:p>
    <w:p>
      <w:pPr>
        <w:spacing w:after="160"/>
      </w:pPr>
      <w:r>
        <w:t xml:space="preserve">Pfeiffer, J., Vulić, I., Gurevych, I., &amp; Ruder, S. (2020). MAD-X: An Adapter-Based Framework for Multi-Task Cross-Lingual Transfer. Proceedings of the 2020 Conference on Empirical Methods in Natural Language Processing (EMNLP), 7654–7673.</w:t>
      </w:r>
    </w:p>
    <w:p>
      <w:pPr>
        <w:spacing w:after="160"/>
      </w:pPr>
      <w:r>
        <w:t xml:space="preserve">La Cava, L., &amp; Tagarelli, A. (2025). OpenTuringBench: An Open-Model-Based Benchmark and Framework for Machine-Generated Text Detection and Attribution. Proceedings of the 2025 Conference on Empirical Methods in Natural Language Processing, 26666–26682.</w:t>
      </w:r>
    </w:p>
    <w:p>
      <w:pPr>
        <w:spacing w:after="160"/>
      </w:pPr>
      <w:r>
        <w:t xml:space="preserve">Varab, D., &amp; Schluter, N. (2021). MassiveSumm: A Very Large-Scale, Very Multilingual, News Summarisation Dataset. Proceedings of the 2021 Conference on Empirical Methods in Natural Language Processing, 10150–10161.</w:t>
      </w:r>
    </w:p>
    <w:p>
      <w:pPr>
        <w:spacing w:after="160"/>
      </w:pPr>
      <w:r>
        <w:t xml:space="preserve">Conneau, A., Khandelwal, K., Goyal, N., Chaudhary, V., Wenzek, G., Guzmán, F., Grave, E., Ott, M., Zettlemoyer, L., &amp; Stoyanov, V. (2020). Unsupervised Cross-Lingual Representation Learning at Scale. Proceedings of the 58th Annual Meeting of the Association for Computational Linguistics.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2026-07-15T05:02:42.405Z</dcterms:created>
  <dcterms:modified xsi:type="dcterms:W3CDTF">2026-07-15T05:02:42.421Z</dcterms:modified>
</cp:coreProperties>
</file>

<file path=docProps/custom.xml><?xml version="1.0" encoding="utf-8"?>
<Properties xmlns="http://schemas.openxmlformats.org/officeDocument/2006/custom-properties" xmlns:vt="http://schemas.openxmlformats.org/officeDocument/2006/docPropsVTypes"/>
</file>