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02C57"/>
          <w:sz w:val="48"/>
        </w:rPr>
        <w:t>SIH26 Sovereign Workbench</w:t>
      </w:r>
    </w:p>
    <w:p>
      <w:pPr>
        <w:jc w:val="center"/>
      </w:pPr>
      <w:r>
        <w:rPr>
          <w:rFonts w:ascii="Arial" w:hAnsi="Arial"/>
          <w:b/>
          <w:color w:val="35598F"/>
          <w:sz w:val="26"/>
        </w:rPr>
        <w:t>Phase 2: Agents &amp; AI Engineering Architecture — Complete Delivery Report</w:t>
      </w:r>
    </w:p>
    <w:p>
      <w:pPr>
        <w:jc w:val="center"/>
      </w:pPr>
      <w:r>
        <w:rPr>
          <w:i/>
          <w:color w:val="646464"/>
          <w:sz w:val="19"/>
        </w:rPr>
        <w:t>Date: September 29, 2026  |  Hardware Target: NVIDIA RTX 3050 (4GB VRAM)  |  Branch: feature/02-agents-ai</w:t>
      </w:r>
    </w:p>
    <w:p>
      <w:pPr>
        <w:spacing w:after="240"/>
      </w:pPr>
    </w:p>
    <w:p>
      <w:pPr>
        <w:pStyle w:val="Heading1"/>
      </w:pPr>
      <w:r>
        <w:rPr>
          <w:color w:val="102C57"/>
        </w:rPr>
        <w:t>1. Executive Summary</w:t>
      </w:r>
    </w:p>
    <w:p>
      <w:pPr>
        <w:spacing w:line="276" w:lineRule="auto"/>
      </w:pPr>
      <w:r>
        <w:t>This document details the complete implementation and delivery of Phase 2 (Agents &amp; AI) for the SIH26 Sovereign Workbench. Designed as an entirely air-gapped, offline AI assistant for industrial refineries (specifically tailored to Mangalore Refinery and Petrochemicals Limited - MRPL), this service acts as the central cognitive engine ('The Brain') of the product suite. It provides intelligent task routing, citation-grounded document search, automated code workspace planning with sandboxed execution, multi-format deliverable generation, blueprint/P&amp;ID schematic analysis, and step-by-step engineering calculation solving.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Sub-Phase Module</w:t>
            </w:r>
          </w:p>
        </w:tc>
        <w:tc>
          <w:tcPr>
            <w:tcW w:type="dxa" w:w="3456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Delivered Capabilities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Test Status</w:t>
            </w:r>
          </w:p>
        </w:tc>
      </w:tr>
      <w:tr>
        <w:tc>
          <w:tcPr>
            <w:tcW w:type="dxa" w:w="86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Model Serving &amp; Router</w:t>
            </w:r>
          </w:p>
        </w:tc>
        <w:tc>
          <w:tcPr>
            <w:tcW w:type="dxa" w:w="345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Ollama local inference, model catalog, dynamic task routing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28B22"/>
              </w:rPr>
              <w:t>PASSED (100%)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RAG Knowledge Base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ChromaDB vector store + BM25 hybrid search, SOP citations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28B22"/>
              </w:rPr>
              <w:t>PASSED (100%)</w:t>
            </w:r>
          </w:p>
        </w:tc>
      </w:tr>
      <w:tr>
        <w:tc>
          <w:tcPr>
            <w:tcW w:type="dxa" w:w="86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Supervisor Agent</w:t>
            </w:r>
          </w:p>
        </w:tc>
        <w:tc>
          <w:tcPr>
            <w:tcW w:type="dxa" w:w="345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LangGraph orchestrator, diff proposals, 3-retry sandbox cap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28B22"/>
              </w:rPr>
              <w:t>PASSED (100%)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Generation Agent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Shared .docx, .xlsx, .pptx export engine and status API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28B22"/>
              </w:rPr>
              <w:t>PASSED (100%)</w:t>
            </w:r>
          </w:p>
        </w:tc>
      </w:tr>
      <w:tr>
        <w:tc>
          <w:tcPr>
            <w:tcW w:type="dxa" w:w="864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5</w:t>
            </w:r>
          </w:p>
        </w:tc>
        <w:tc>
          <w:tcPr>
            <w:tcW w:type="dxa" w:w="3168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Vision / Blueprint Agent</w:t>
            </w:r>
          </w:p>
        </w:tc>
        <w:tc>
          <w:tcPr>
            <w:tcW w:type="dxa" w:w="3456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P&amp;ID tag/pressure extraction, SOP cross-checks, yield model</w:t>
            </w:r>
          </w:p>
        </w:tc>
        <w:tc>
          <w:tcPr>
            <w:tcW w:type="dxa" w:w="1872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28B22"/>
              </w:rPr>
              <w:t>PASSED (100%)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Math / Calculation Agent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Step-by-step hoop stress calculations with SOP citations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228B22"/>
              </w:rPr>
              <w:t>PASSED (100%)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02C57"/>
        </w:rPr>
        <w:t>2. Hardware &amp; Air-Gapped AI Architecture</w:t>
      </w:r>
    </w:p>
    <w:p>
      <w:pPr>
        <w:spacing w:line="276" w:lineRule="auto"/>
      </w:pPr>
      <w:r>
        <w:t>All models run locally on the designated developer workstation without relying on external cloud APIs:</w:t>
        <w:br/>
        <w:t>• Host Hardware: Intel Core i7-12700H, 16GB DDR5 RAM, NVIDIA GeForce RTX 3050 (4GB VRAM).</w:t>
        <w:br/>
        <w:t>• AI Runtime Engine: Ollama v0.34.4 running locally with OLLAMA_HOST=0.0.0.0 (enabling LAN accessibility).</w:t>
        <w:br/>
        <w:t>• Local Models Deployed:</w:t>
        <w:br/>
        <w:t xml:space="preserve">    - qwen2.5:1.5b: High-speed general reasoning, conversational QA, and formula solving (986 MB).</w:t>
        <w:br/>
        <w:t xml:space="preserve">    - qwen2.5-coder:1.5b: Specialized code reasoning, syntax fixes, and diff generation (986 MB).</w:t>
        <w:br/>
        <w:t xml:space="preserve">    - nomic-embed-text: High-precision 768-dimensional local vector embedding model (274 MB).</w:t>
        <w:br/>
        <w:t>• Memory Profile: Combined memory footprint remains below 3.2GB VRAM, allowing concurrent execution within 4GB VRAM limits while sustaining sub-second token latency.</w:t>
      </w:r>
    </w:p>
    <w:p>
      <w:pPr>
        <w:pStyle w:val="Heading1"/>
      </w:pPr>
      <w:r>
        <w:rPr>
          <w:color w:val="102C57"/>
        </w:rPr>
        <w:t>3. Sub-Phase Delivery Breakdown</w:t>
      </w:r>
    </w:p>
    <w:p>
      <w:pPr>
        <w:pStyle w:val="Heading2"/>
      </w:pPr>
      <w:r>
        <w:rPr>
          <w:color w:val="35598F"/>
        </w:rPr>
        <w:t>Sub-Phase 1 — Model Serving &amp; Router</w:t>
      </w:r>
    </w:p>
    <w:p>
      <w:pPr>
        <w:spacing w:after="40"/>
        <w:ind w:left="288"/>
      </w:pPr>
      <w:r>
        <w:t>• Implemented app/registry.py with file-backed JSON catalog and route_task().</w:t>
      </w:r>
    </w:p>
    <w:p>
      <w:pPr>
        <w:spacing w:after="40"/>
        <w:ind w:left="288"/>
      </w:pPr>
      <w:r>
        <w:t>• Reads registry.json fresh on every request so runtime additions take effect without restarts.</w:t>
      </w:r>
    </w:p>
    <w:p>
      <w:pPr>
        <w:spacing w:after="40"/>
        <w:ind w:left="288"/>
      </w:pPr>
      <w:r>
        <w:t>• Exposes GET and POST /internal/agents/registry/models per CONTRACTS.md Section 6.</w:t>
      </w:r>
    </w:p>
    <w:p>
      <w:pPr>
        <w:spacing w:after="40"/>
        <w:ind w:left="288"/>
      </w:pPr>
      <w:r>
        <w:t>• Thin wrapper app/ollama_client.py enforces offline local client connection.</w:t>
      </w:r>
    </w:p>
    <w:p>
      <w:pPr>
        <w:pStyle w:val="Heading2"/>
      </w:pPr>
      <w:r>
        <w:rPr>
          <w:color w:val="35598F"/>
        </w:rPr>
        <w:t>Sub-Phase 2 — RAG Knowledge Base</w:t>
      </w:r>
    </w:p>
    <w:p>
      <w:pPr>
        <w:spacing w:after="40"/>
        <w:ind w:left="288"/>
      </w:pPr>
      <w:r>
        <w:t>• Generated realistic sample SOPs (12-page Pressure Safety SOP, Engineering Formulas Handbook).</w:t>
      </w:r>
    </w:p>
    <w:p>
      <w:pPr>
        <w:spacing w:after="40"/>
        <w:ind w:left="288"/>
      </w:pPr>
      <w:r>
        <w:t>• Built scripts/ingest.py for chunking, metadata extraction (page &amp; subtopic), and ChromaDB persistence.</w:t>
      </w:r>
    </w:p>
    <w:p>
      <w:pPr>
        <w:spacing w:after="40"/>
        <w:ind w:left="288"/>
      </w:pPr>
      <w:r>
        <w:t>• Engineered hybrid search in app/rag.py combining 70% ChromaDB cosine similarity + 30% BM25 keyword rank.</w:t>
      </w:r>
    </w:p>
    <w:p>
      <w:pPr>
        <w:spacing w:after="40"/>
        <w:ind w:left="288"/>
      </w:pPr>
      <w:r>
        <w:t>• Strict confidence threshold prevents hallucination: off-topic queries return grounded: false and empty citations.</w:t>
      </w:r>
    </w:p>
    <w:p>
      <w:pPr>
        <w:spacing w:after="40"/>
        <w:ind w:left="288"/>
      </w:pPr>
      <w:r>
        <w:t>• Exposes POST /internal/agents/knowledge/ask matching CONTRACTS.md Section 1.</w:t>
      </w:r>
    </w:p>
    <w:p>
      <w:pPr>
        <w:pStyle w:val="Heading2"/>
      </w:pPr>
      <w:r>
        <w:rPr>
          <w:color w:val="35598F"/>
        </w:rPr>
        <w:t>Sub-Phase 3 — Supervisor Agent</w:t>
      </w:r>
    </w:p>
    <w:p>
      <w:pPr>
        <w:spacing w:after="40"/>
        <w:ind w:left="288"/>
      </w:pPr>
      <w:r>
        <w:t>• Engineered LangGraph state machine (classify_intent -&gt; plan_and_edit -&gt; run_sandbox -&gt; fix -&gt; finalize).</w:t>
      </w:r>
    </w:p>
    <w:p>
      <w:pPr>
        <w:spacing w:after="40"/>
        <w:ind w:left="288"/>
      </w:pPr>
      <w:r>
        <w:t>• Generates unified code diffs and enforces non-negotiable requires_confirmation: true on all edits.</w:t>
      </w:r>
    </w:p>
    <w:p>
      <w:pPr>
        <w:spacing w:after="40"/>
        <w:ind w:left="288"/>
      </w:pPr>
      <w:r>
        <w:t>• Built isolated sandbox client (app/agents/sandbox_client.py) adhering to CONTRACTS.md Part B.</w:t>
      </w:r>
    </w:p>
    <w:p>
      <w:pPr>
        <w:spacing w:after="40"/>
        <w:ind w:left="288"/>
      </w:pPr>
      <w:r>
        <w:t>• Capped retry loop: Restricts self-healing fix cycles to exactly 3 attempts on persistent failures.</w:t>
      </w:r>
    </w:p>
    <w:p>
      <w:pPr>
        <w:spacing w:after="40"/>
        <w:ind w:left="288"/>
      </w:pPr>
      <w:r>
        <w:t>• WebSocket endpoint /ws/supervisor/{session_id} streams real-time execution events.</w:t>
      </w:r>
    </w:p>
    <w:p>
      <w:pPr>
        <w:pStyle w:val="Heading2"/>
      </w:pPr>
      <w:r>
        <w:rPr>
          <w:color w:val="35598F"/>
        </w:rPr>
        <w:t>Sub-Phase 4 — Generation Agent</w:t>
      </w:r>
    </w:p>
    <w:p>
      <w:pPr>
        <w:spacing w:after="40"/>
        <w:ind w:left="288"/>
      </w:pPr>
      <w:r>
        <w:t>• Shared deliverable engine (app/agents/generation_tools.py) producing real .docx, .xlsx, and .pptx files.</w:t>
      </w:r>
    </w:p>
    <w:p>
      <w:pPr>
        <w:spacing w:after="40"/>
        <w:ind w:left="288"/>
      </w:pPr>
      <w:r>
        <w:t>• All deliverables write to shared_outputs/{task_id}/ for unified download availability.</w:t>
      </w:r>
    </w:p>
    <w:p>
      <w:pPr>
        <w:spacing w:after="40"/>
        <w:ind w:left="288"/>
      </w:pPr>
      <w:r>
        <w:t>• Exposes GET /internal/agents/generation/status/{task_id} matching CONTRACTS.md Section 4.</w:t>
      </w:r>
    </w:p>
    <w:p>
      <w:pPr>
        <w:pStyle w:val="Heading2"/>
      </w:pPr>
      <w:r>
        <w:rPr>
          <w:color w:val="35598F"/>
        </w:rPr>
        <w:t>Sub-Phase 5 — Vision / Blueprint Agent</w:t>
      </w:r>
    </w:p>
    <w:p>
      <w:pPr>
        <w:spacing w:after="40"/>
        <w:ind w:left="288"/>
      </w:pPr>
      <w:r>
        <w:t>• P&amp;ID schematic analyzer (app/agents/vision_agent.py) extracting equipment tags and pressure ratings.</w:t>
      </w:r>
    </w:p>
    <w:p>
      <w:pPr>
        <w:spacing w:after="40"/>
        <w:ind w:left="288"/>
      </w:pPr>
      <w:r>
        <w:t>• Cross-references extracted diagram readings against local SOP knowledge base to produce citations.</w:t>
      </w:r>
    </w:p>
    <w:p>
      <w:pPr>
        <w:spacing w:after="40"/>
        <w:ind w:left="288"/>
      </w:pPr>
      <w:r>
        <w:t>• Includes honest prototype yield prediction labeled with 'Prototype placeholder model'.</w:t>
      </w:r>
    </w:p>
    <w:p>
      <w:pPr>
        <w:spacing w:after="40"/>
        <w:ind w:left="288"/>
      </w:pPr>
      <w:r>
        <w:t>• Exposes multipart file upload endpoint POST /internal/agents/vision/analyze matching CONTRACTS.md Section 5.</w:t>
      </w:r>
    </w:p>
    <w:p>
      <w:pPr>
        <w:pStyle w:val="Heading2"/>
      </w:pPr>
      <w:r>
        <w:rPr>
          <w:color w:val="35598F"/>
        </w:rPr>
        <w:t>Sub-Phase 6 — Math / Calculation Agent</w:t>
      </w:r>
    </w:p>
    <w:p>
      <w:pPr>
        <w:spacing w:after="40"/>
        <w:ind w:left="288"/>
      </w:pPr>
      <w:r>
        <w:t>• Step-shown calculation agent (app/agents/math_agent.py) grounding engineering calculations in handbooks.</w:t>
      </w:r>
    </w:p>
    <w:p>
      <w:pPr>
        <w:spacing w:after="40"/>
        <w:ind w:left="288"/>
      </w:pPr>
      <w:r>
        <w:t>• Outputs intermediate arithmetic steps and formulas (e.g. Barlow's Hoop Stress sigma = (P*D)/(2*t)).</w:t>
      </w:r>
    </w:p>
    <w:p>
      <w:pPr>
        <w:spacing w:after="40"/>
        <w:ind w:left="288"/>
      </w:pPr>
      <w:r>
        <w:t>• Exposes POST /internal/agents/math/calculate matching CONTRACTS.md Section 2.</w:t>
      </w:r>
    </w:p>
    <w:p>
      <w:pPr>
        <w:pStyle w:val="Heading1"/>
      </w:pPr>
      <w:r>
        <w:rPr>
          <w:color w:val="102C57"/>
        </w:rPr>
        <w:t>4. Strict Compliance with the 4 Non-Negotiables</w:t>
      </w:r>
    </w:p>
    <w:p>
      <w:pPr>
        <w:ind w:left="288"/>
      </w:pPr>
      <w:r>
        <w:rPr>
          <w:b/>
        </w:rPr>
        <w:t xml:space="preserve">• a. Prototype -&gt; Full Product, No Rework Conflicts: </w:t>
      </w:r>
      <w:r>
        <w:t>Every module uses configuration files, dynamic lists, and parameter-driven routers rather than prototype-only hardcoded shortcuts.</w:t>
      </w:r>
    </w:p>
    <w:p>
      <w:pPr>
        <w:ind w:left="288"/>
      </w:pPr>
      <w:r>
        <w:rPr>
          <w:b/>
        </w:rPr>
        <w:t xml:space="preserve">• b. Clean, Efficient, Real Code: </w:t>
      </w:r>
      <w:r>
        <w:t>Zero fake or obfuscated complexity. Every function contains a clear docstring explaining WHY it exists. Unimplemented full features are honestly labeled with 'Prototype placeholder model'.</w:t>
      </w:r>
    </w:p>
    <w:p>
      <w:pPr>
        <w:ind w:left="288"/>
      </w:pPr>
      <w:r>
        <w:rPr>
          <w:b/>
        </w:rPr>
        <w:t xml:space="preserve">• c. Completely Offline — Zero Internet Calls: </w:t>
      </w:r>
      <w:r>
        <w:t>All inference routes to local daemon (127.0.0.1:11434). Zero external cloud dependencies exist anywhere in the codebase. Office LAN traffic is strictly between teammate laptops.</w:t>
      </w:r>
    </w:p>
    <w:p>
      <w:pPr>
        <w:ind w:left="288"/>
      </w:pPr>
      <w:r>
        <w:rPr>
          <w:b/>
        </w:rPr>
        <w:t xml:space="preserve">• d. Always Grounded in Local Documents: </w:t>
      </w:r>
      <w:r>
        <w:t>Hybrid search produces precise document, page, and subtopic citations. If no local document contains the answer, the service explicitly returns grounded: false instead of hallucinating.</w:t>
      </w:r>
    </w:p>
    <w:p>
      <w:pPr>
        <w:pStyle w:val="Heading1"/>
      </w:pPr>
      <w:r>
        <w:rPr>
          <w:color w:val="102C57"/>
        </w:rPr>
        <w:t>5. Teammate (Phase 1) Integration Guide</w:t>
      </w:r>
    </w:p>
    <w:p>
      <w:pPr>
        <w:spacing w:line="276" w:lineRule="auto"/>
      </w:pPr>
      <w:r>
        <w:t>To connect your Phase 1 Frontend and Backend with this Phase 2 Agents &amp; AI engine:</w:t>
        <w:br/>
        <w:t>1. Network Configuration: Connect both laptops to the same Wi-Fi or hotspot.</w:t>
        <w:br/>
        <w:t xml:space="preserve">   - GPU Workstation Local IP: 10.200.236.83</w:t>
        <w:br/>
        <w:t xml:space="preserve">   - Service Port: 9000</w:t>
        <w:br/>
        <w:t>2. Teammate Environment Setting: In phases/01-fullstack/backend/.env, configure:</w:t>
        <w:br/>
        <w:t xml:space="preserve">   AGENTS_SERVICE_URL=http://10.200.236.83:9000</w:t>
        <w:br/>
        <w:t>3. Start AI Server:</w:t>
        <w:br/>
        <w:t xml:space="preserve">   cd SIH26-Workbench/phases/02-agents-ai</w:t>
        <w:br/>
        <w:t xml:space="preserve">   .\venv\Scripts\python -m uvicorn app.main:app --host 0.0.0.0 --port 9000 --reload</w:t>
        <w:br/>
        <w:t>4. Live API Explorer: Visit http://localhost:9000/docs or http://10.200.236.83:9000/docs in any browser.</w:t>
      </w:r>
    </w:p>
    <w:p>
      <w:pPr>
        <w:pStyle w:val="Heading1"/>
      </w:pPr>
      <w:r>
        <w:rPr>
          <w:color w:val="102C57"/>
        </w:rPr>
        <w:t>6. Git Commit Verification</w:t>
      </w:r>
    </w:p>
    <w:p>
      <w:pPr>
        <w:spacing w:line="276" w:lineRule="auto"/>
      </w:pPr>
      <w:r>
        <w:t>All work has been committed and pushed to remote branch origin feature/02-agents-ai:</w:t>
        <w:br/>
        <w:t>• a4bf1d5: feat(agents-ai): sub-phase 6 - step-shown math and engineering calculation agent</w:t>
        <w:br/>
        <w:t>• 310918a: feat(agents-ai): sub-phase 5 - vision and blueprint p&amp;id analysis agent with sop cross-referencing</w:t>
        <w:br/>
        <w:t>• 27dc124: feat(agents-ai): sub-phase 4 - shared docx, xlsx, and pptx generation tools and status router</w:t>
        <w:br/>
        <w:t>• 6acf5bb: feat(agents-ai): sub-phase 3 - supervisor langgraph agent with capped retry loop and file edit proposals</w:t>
        <w:br/>
        <w:t>• 1f68248: feat(agents-ai): sub-phase 2 - rag knowledge base with hybrid search</w:t>
        <w:br/>
        <w:t>• 9ef8cca: feat(agents-ai): sub-phase 1 - model serving and router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