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B4CD9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</w:rPr>
        <w:t>跨境商品期货CTA多策略组合系统评分方案与细则</w:t>
      </w:r>
    </w:p>
    <w:bookmarkEnd w:id="0"/>
    <w:p w14:paraId="4258D366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一、评分体系总览</w:t>
      </w:r>
    </w:p>
    <w:p w14:paraId="6839AE1B">
      <w:pPr>
        <w:rPr>
          <w:rFonts w:hint="eastAsia" w:ascii="微软雅黑" w:hAnsi="微软雅黑" w:eastAsia="微软雅黑" w:cs="微软雅黑"/>
          <w:color w:val="auto"/>
        </w:rPr>
      </w:pPr>
      <w:r>
        <w:t>满分80分 = 自动化评分(80分)。</w:t>
      </w:r>
    </w:p>
    <w:p w14:paraId="3D226982">
      <w:pPr>
        <w:rPr>
          <w:rFonts w:hint="eastAsia" w:ascii="微软雅黑" w:hAnsi="微软雅黑" w:eastAsia="微软雅黑" w:cs="微软雅黑"/>
          <w:color w:val="auto"/>
        </w:rPr>
      </w:pPr>
      <w:r>
        <w:t>本评分方案经过多轮迭代优化，确保AI在30分钟内得分较低，并在长时间迭代中仍有优化空间。核心难度机制：</w:t>
      </w:r>
    </w:p>
    <w:p w14:paraId="29510B5B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t>Schema合规门槛：nav必须为人民币总金额（初始≈1.5e9）；使用单位净值将导致NAV会计自洽与人民币回放无法得分，并触发绩效得分×0.3</w:t>
      </w:r>
    </w:p>
    <w:p w14:paraId="4DE4E37C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t>风控一票否决：最大回撤&gt;20%、年化波动率超出[5%,20%]、平均总暴露&lt;10%或有效参与率&lt;70%→风控维度(20分)全部0分</w:t>
      </w:r>
    </w:p>
    <w:p w14:paraId="4FBB5F4E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绩效评分极严：负收益/负夏普=0分（即使"优于基准"），仅正收益且达到绝对目标才得分</w:t>
      </w:r>
    </w:p>
    <w:p w14:paraId="50EDD385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信号验证深度：每个因子必须通过特定统计检验（TSMOM分板块变异系数&gt;0.15、XSMOM多空差&lt;15%、CARRY标准化、BREAKOUT稀疏性&gt;40%、MEANREV稀疏性&gt;50%），5因子全通过才得满分</w:t>
      </w:r>
    </w:p>
    <w:p w14:paraId="69CC842B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代码合规检查(10分)：随机种子seed=42(2分)、库限制(2分)、成本来源(2分)、汇率来源(2分)、4小时限制(2分)</w:t>
      </w:r>
    </w:p>
    <w:p w14:paraId="5E75442D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交付物门槛：核心文件缺失→对应维度直接0分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EE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4735F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评分维度</w:t>
            </w:r>
          </w:p>
        </w:tc>
        <w:tc>
          <w:tcPr>
            <w:tcW w:w="2160" w:type="dxa"/>
          </w:tcPr>
          <w:p w14:paraId="288178C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分值</w:t>
            </w:r>
          </w:p>
        </w:tc>
        <w:tc>
          <w:tcPr>
            <w:tcW w:w="2160" w:type="dxa"/>
          </w:tcPr>
          <w:p w14:paraId="091FB27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评分方式</w:t>
            </w:r>
          </w:p>
        </w:tc>
        <w:tc>
          <w:tcPr>
            <w:tcW w:w="2160" w:type="dxa"/>
          </w:tcPr>
          <w:p w14:paraId="0CE11C9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难度机制</w:t>
            </w:r>
          </w:p>
        </w:tc>
      </w:tr>
      <w:tr w14:paraId="4165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B9C6A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回测真实性核验</w:t>
            </w:r>
          </w:p>
        </w:tc>
        <w:tc>
          <w:tcPr>
            <w:tcW w:w="2160" w:type="dxa"/>
          </w:tcPr>
          <w:p w14:paraId="1334BBB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10分</w:t>
            </w:r>
          </w:p>
        </w:tc>
        <w:tc>
          <w:tcPr>
            <w:tcW w:w="2160" w:type="dxa"/>
          </w:tcPr>
          <w:p w14:paraId="58F66B0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自动化</w:t>
            </w:r>
          </w:p>
        </w:tc>
        <w:tc>
          <w:tcPr>
            <w:tcW w:w="2160" w:type="dxa"/>
          </w:tcPr>
          <w:p>
            <w:r>
              <w:t>NAV/daily_pnl/持仓/交易/成本/FX全链路闭环，缺交易记录核验为0</w:t>
            </w:r>
          </w:p>
        </w:tc>
      </w:tr>
      <w:tr w14:paraId="6CDA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33221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回测绩效指标</w:t>
            </w:r>
          </w:p>
        </w:tc>
        <w:tc>
          <w:tcPr>
            <w:tcW w:w="2160" w:type="dxa"/>
          </w:tcPr>
          <w:p w14:paraId="4B007B4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25分</w:t>
            </w:r>
          </w:p>
        </w:tc>
        <w:tc>
          <w:tcPr>
            <w:tcW w:w="2160" w:type="dxa"/>
          </w:tcPr>
          <w:p w14:paraId="50C53B8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自动化</w:t>
            </w:r>
          </w:p>
        </w:tc>
        <w:tc>
          <w:tcPr>
            <w:tcW w:w="2160" w:type="dxa"/>
          </w:tcPr>
          <w:p>
            <w:r>
              <w:t>低波动/低暴露不得靠低回撤或风险调整指标得分</w:t>
            </w:r>
          </w:p>
        </w:tc>
      </w:tr>
      <w:tr w14:paraId="30FB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C2EB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风控约束满足度</w:t>
            </w:r>
          </w:p>
        </w:tc>
        <w:tc>
          <w:tcPr>
            <w:tcW w:w="2160" w:type="dxa"/>
          </w:tcPr>
          <w:p w14:paraId="58F0625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20分</w:t>
            </w:r>
          </w:p>
        </w:tc>
        <w:tc>
          <w:tcPr>
            <w:tcW w:w="2160" w:type="dxa"/>
          </w:tcPr>
          <w:p w14:paraId="278B9D2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自动化</w:t>
            </w:r>
          </w:p>
        </w:tc>
        <w:tc>
          <w:tcPr>
            <w:tcW w:w="2160" w:type="dxa"/>
          </w:tcPr>
          <w:p>
            <w:r>
              <w:t>回撤/波动/平均暴露/有效参与任一不达标均一票否决</w:t>
            </w:r>
          </w:p>
        </w:tc>
      </w:tr>
      <w:tr w14:paraId="482D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6F751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信号生成正确性</w:t>
            </w:r>
          </w:p>
        </w:tc>
        <w:tc>
          <w:tcPr>
            <w:tcW w:w="2160" w:type="dxa"/>
          </w:tcPr>
          <w:p w14:paraId="56E624A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15分</w:t>
            </w:r>
          </w:p>
        </w:tc>
        <w:tc>
          <w:tcPr>
            <w:tcW w:w="2160" w:type="dxa"/>
          </w:tcPr>
          <w:p w14:paraId="3545FCE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自动化</w:t>
            </w:r>
          </w:p>
        </w:tc>
        <w:tc>
          <w:tcPr>
            <w:tcW w:w="2160" w:type="dxa"/>
          </w:tcPr>
          <w:p w14:paraId="52F7397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5因子全通过才满分,每因子严格统计检验</w:t>
            </w:r>
          </w:p>
        </w:tc>
      </w:tr>
      <w:tr w14:paraId="2327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5CF6F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代码合规性</w:t>
            </w:r>
          </w:p>
        </w:tc>
        <w:tc>
          <w:tcPr>
            <w:tcW w:w="2160" w:type="dxa"/>
          </w:tcPr>
          <w:p w14:paraId="15ABC3D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10分</w:t>
            </w:r>
          </w:p>
        </w:tc>
        <w:tc>
          <w:tcPr>
            <w:tcW w:w="2160" w:type="dxa"/>
          </w:tcPr>
          <w:p w14:paraId="621FBDE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自动化</w:t>
            </w:r>
          </w:p>
        </w:tc>
        <w:tc>
          <w:tcPr>
            <w:tcW w:w="2160" w:type="dxa"/>
          </w:tcPr>
          <w:p w14:paraId="2387689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5项合规检查各2分</w:t>
            </w:r>
          </w:p>
        </w:tc>
      </w:tr>
    </w:tbl>
    <w:p w14:paraId="5E05C9DC">
      <w:pPr>
        <w:rPr>
          <w:rFonts w:hint="eastAsia" w:ascii="微软雅黑" w:hAnsi="微软雅黑" w:eastAsia="微软雅黑" w:cs="微软雅黑"/>
          <w:color w:val="auto"/>
        </w:rPr>
      </w:pPr>
    </w:p>
    <w:p w14:paraId="3342C583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二、自动化评分细则（80分）</w:t>
      </w:r>
    </w:p>
    <w:p w14:paraId="461B73A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2.1 交付物门槛与Schema合规</w:t>
      </w:r>
    </w:p>
    <w:p w14:paraId="492CFAEB">
      <w:pPr>
        <w:rPr>
          <w:rFonts w:hint="eastAsia" w:ascii="微软雅黑" w:hAnsi="微软雅黑" w:eastAsia="微软雅黑" w:cs="微软雅黑"/>
          <w:color w:val="auto"/>
        </w:rPr>
      </w:pPr>
      <w:r>
        <w:t>交付物门槛：nav_history缺失→绩效+风控=0；holdings_detail或trade_records缺失→真实性核验=0，holdings_detail缺失→风控=0；signal_matrix缺失→信号=0。</w:t>
      </w:r>
    </w:p>
    <w:p w14:paraId="6011CD5C">
      <w:pPr>
        <w:rPr>
          <w:rFonts w:hint="eastAsia" w:ascii="微软雅黑" w:hAnsi="微软雅黑" w:eastAsia="微软雅黑" w:cs="微软雅黑"/>
          <w:color w:val="auto"/>
        </w:rPr>
      </w:pPr>
      <w:r>
        <w:t>Schema合规：nav列必须为人民币总金额（初始值≈1,500,000,000.00），初始值&lt;100判定为单位净值。Schema不合规时：绩效得分×0.3；缺少daily_pnl、daily_return、drawdown、dd_scale、num_positions等必需列会影响NAV会计自洽与回放得分。</w:t>
      </w:r>
    </w:p>
    <w:p w14:paraId="6F1636F0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2.2 真实性核验（10分）</w:t>
      </w:r>
    </w:p>
    <w:p w14:paraId="0064318A">
      <w:pPr>
        <w:rPr>
          <w:rFonts w:hint="eastAsia" w:ascii="微软雅黑" w:hAnsi="微软雅黑" w:eastAsia="微软雅黑" w:cs="微软雅黑"/>
          <w:color w:val="auto"/>
        </w:rPr>
      </w:pPr>
      <w:r>
        <w:t>文件与日期对齐（1分）：nav_history、holdings_detail、trade_records均存在，且核心日期在原始交易日内的有效率≥95%=1分；80%-95%=0.5分；低于80%或缺核心文件=0分。</w:t>
      </w:r>
    </w:p>
    <w:p w14:paraId="7E09898F">
      <w:pPr>
        <w:rPr>
          <w:rFonts w:hint="eastAsia" w:ascii="微软雅黑" w:hAnsi="微软雅黑" w:eastAsia="微软雅黑" w:cs="微软雅黑"/>
          <w:color w:val="auto"/>
        </w:rPr>
      </w:pPr>
      <w:r>
        <w:t>NAV会计自洽（2分）：核验nav[t]-nav[t-1]≈daily_pnl[t]、daily_return≈daily_pnl/nav[t-1]、drawdown≈历史高点回撤。三项通过率均≥95%=2分；≥85%=1分；否则0分。</w:t>
      </w:r>
    </w:p>
    <w:p w14:paraId="664EAE94">
      <w:pPr>
        <w:rPr>
          <w:rFonts w:hint="eastAsia" w:ascii="微软雅黑" w:hAnsi="微软雅黑" w:eastAsia="微软雅黑" w:cs="微软雅黑"/>
          <w:color w:val="auto"/>
        </w:rPr>
      </w:pPr>
      <w:r>
        <w:t>持仓-交易连续性（2分）：按date+ticker核验holdings_lots[t]≈holdings_lots[t-1]+sum(trade_lots[t])。违规率&lt;1%=2分；≤10%=1分；否则0分。</w:t>
      </w:r>
    </w:p>
    <w:p>
      <w:pPr/>
      <w:r>
        <w:t>PnL/NAV全链路回放（3分）：使用原始close价格、前一日持仓、合约乘数、transaction_costs交易成本和fx_rates_daily.USDCNY重新计算daily_pnl与nav。nav_corr≥0.995、mean_nav_rel_err≤0.5%、p95_daily_pnl_err≤2%=3分；nav_corr≥0.98、mean_nav_rel_err≤2%、p95_daily_pnl_err≤5%=2分；nav_corr≥0.90或mean_nav_rel_err≤10%=1分；否则0分。</w:t>
      </w:r>
    </w:p>
    <w:p>
      <w:pPr/>
      <w:r>
        <w:t>成本与FX核验（2分）：逐笔核验transaction_cost_cny是否来自futures_contract_specs.xlsx的transaction_costs工作表，并检查USD合约成本/PnL/名义价值是否使用fx_rates_daily.USDCNY折算。成本中位相对误差≤5%、P95≤20%且FX错误率≤1%=2分；成本中位相对误差≤30%且FX错误率≤10%=1分；否则0分。</w:t>
      </w:r>
    </w:p>
    <w:p w14:paraId="3EEA8CD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2.3 绩效指标（25分）- 极严评分</w:t>
      </w:r>
    </w:p>
    <w:p w14:paraId="1DDC45B9">
      <w:pPr>
        <w:rPr>
          <w:rFonts w:hint="eastAsia" w:ascii="微软雅黑" w:hAnsi="微软雅黑" w:eastAsia="微软雅黑" w:cs="微软雅黑"/>
          <w:color w:val="auto"/>
        </w:rPr>
      </w:pPr>
      <w:r>
        <w:t>评分原则：基准（标准答案）绩效极差（负收益、负夏普、回撤28%），仅"优于基准"不构成得分理由。必须达到绝对目标或至少为正值才得分。Schema不合规时得分×0.3。有效参与门槛：年化波动率≥5%、平均总名义暴露≥10%、有效参与率（gross_exposure≥10%的交易日占比）≥70%时正常评分；若年化波动率≥3%、平均总名义暴露≥5%、有效参与率≥40%，最大回撤、夏普、Sortino、Calmar单项最高1分且绩效总分封顶10分；低于该水平时最大回撤、夏普、Sortino、Calmar均为0分，仅年化收益率可得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8E2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37CB7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指标</w:t>
            </w:r>
          </w:p>
        </w:tc>
        <w:tc>
          <w:tcPr>
            <w:tcW w:w="1728" w:type="dxa"/>
          </w:tcPr>
          <w:p w14:paraId="7330879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5分</w:t>
            </w:r>
          </w:p>
        </w:tc>
        <w:tc>
          <w:tcPr>
            <w:tcW w:w="1728" w:type="dxa"/>
          </w:tcPr>
          <w:p w14:paraId="4CAB7D4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3分</w:t>
            </w:r>
          </w:p>
        </w:tc>
        <w:tc>
          <w:tcPr>
            <w:tcW w:w="1728" w:type="dxa"/>
          </w:tcPr>
          <w:p w14:paraId="27DF166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1分</w:t>
            </w:r>
          </w:p>
        </w:tc>
        <w:tc>
          <w:tcPr>
            <w:tcW w:w="1728" w:type="dxa"/>
          </w:tcPr>
          <w:p w14:paraId="23CB24E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0分</w:t>
            </w:r>
          </w:p>
        </w:tc>
      </w:tr>
      <w:tr w14:paraId="024D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2A679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年化收益率</w:t>
            </w:r>
          </w:p>
        </w:tc>
        <w:tc>
          <w:tcPr>
            <w:tcW w:w="1728" w:type="dxa"/>
          </w:tcPr>
          <w:p w14:paraId="2245E31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≥8%</w:t>
            </w:r>
          </w:p>
        </w:tc>
        <w:tc>
          <w:tcPr>
            <w:tcW w:w="1728" w:type="dxa"/>
          </w:tcPr>
          <w:p w14:paraId="514B89C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≥5%</w:t>
            </w:r>
          </w:p>
        </w:tc>
        <w:tc>
          <w:tcPr>
            <w:tcW w:w="1728" w:type="dxa"/>
          </w:tcPr>
          <w:p w14:paraId="6098990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&gt;0</w:t>
            </w:r>
          </w:p>
        </w:tc>
        <w:tc>
          <w:tcPr>
            <w:tcW w:w="1728" w:type="dxa"/>
          </w:tcPr>
          <w:p w14:paraId="10BF9DD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≤0</w:t>
            </w:r>
          </w:p>
        </w:tc>
      </w:tr>
      <w:tr w14:paraId="5F72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21B04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夏普比率</w:t>
            </w:r>
          </w:p>
        </w:tc>
        <w:tc>
          <w:tcPr>
            <w:tcW w:w="1728" w:type="dxa"/>
          </w:tcPr>
          <w:p w14:paraId="10B534C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≥0.8</w:t>
            </w:r>
          </w:p>
        </w:tc>
        <w:tc>
          <w:tcPr>
            <w:tcW w:w="1728" w:type="dxa"/>
          </w:tcPr>
          <w:p w14:paraId="727915F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≥0.5</w:t>
            </w:r>
          </w:p>
        </w:tc>
        <w:tc>
          <w:tcPr>
            <w:tcW w:w="1728" w:type="dxa"/>
          </w:tcPr>
          <w:p w14:paraId="3059F3C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&gt;0</w:t>
            </w:r>
          </w:p>
        </w:tc>
        <w:tc>
          <w:tcPr>
            <w:tcW w:w="1728" w:type="dxa"/>
          </w:tcPr>
          <w:p w14:paraId="521F895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≤0</w:t>
            </w:r>
          </w:p>
        </w:tc>
      </w:tr>
      <w:tr w14:paraId="4448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F541B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最大回撤</w:t>
            </w:r>
          </w:p>
        </w:tc>
        <w:tc>
          <w:tcPr>
            <w:tcW w:w="1728" w:type="dxa"/>
          </w:tcPr>
          <w:p w14:paraId="3EE26F9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≤10%</w:t>
            </w:r>
          </w:p>
        </w:tc>
        <w:tc>
          <w:tcPr>
            <w:tcW w:w="1728" w:type="dxa"/>
          </w:tcPr>
          <w:p w14:paraId="5C6123F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≤15%</w:t>
            </w:r>
          </w:p>
        </w:tc>
        <w:tc>
          <w:tcPr>
            <w:tcW w:w="1728" w:type="dxa"/>
          </w:tcPr>
          <w:p w14:paraId="3A6763E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≤20%</w:t>
            </w:r>
          </w:p>
        </w:tc>
        <w:tc>
          <w:tcPr>
            <w:tcW w:w="1728" w:type="dxa"/>
          </w:tcPr>
          <w:p w14:paraId="732E15F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&gt;20%</w:t>
            </w:r>
          </w:p>
        </w:tc>
      </w:tr>
      <w:tr w14:paraId="4F36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6A895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Calmar比率</w:t>
            </w:r>
          </w:p>
        </w:tc>
        <w:tc>
          <w:tcPr>
            <w:tcW w:w="1728" w:type="dxa"/>
          </w:tcPr>
          <w:p w14:paraId="49112C3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≥0.5</w:t>
            </w:r>
          </w:p>
        </w:tc>
        <w:tc>
          <w:tcPr>
            <w:tcW w:w="1728" w:type="dxa"/>
          </w:tcPr>
          <w:p w14:paraId="565D884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≥0.2</w:t>
            </w:r>
          </w:p>
        </w:tc>
        <w:tc>
          <w:tcPr>
            <w:tcW w:w="1728" w:type="dxa"/>
          </w:tcPr>
          <w:p w14:paraId="73B1207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&gt;0</w:t>
            </w:r>
          </w:p>
        </w:tc>
        <w:tc>
          <w:tcPr>
            <w:tcW w:w="1728" w:type="dxa"/>
          </w:tcPr>
          <w:p w14:paraId="5B95742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≤0</w:t>
            </w:r>
          </w:p>
        </w:tc>
      </w:tr>
      <w:tr w14:paraId="02E8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F9FE9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Sortino比率</w:t>
            </w:r>
          </w:p>
        </w:tc>
        <w:tc>
          <w:tcPr>
            <w:tcW w:w="1728" w:type="dxa"/>
          </w:tcPr>
          <w:p w14:paraId="393B252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≥1.0</w:t>
            </w:r>
          </w:p>
        </w:tc>
        <w:tc>
          <w:tcPr>
            <w:tcW w:w="1728" w:type="dxa"/>
          </w:tcPr>
          <w:p w14:paraId="625C569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≥0.5</w:t>
            </w:r>
          </w:p>
        </w:tc>
        <w:tc>
          <w:tcPr>
            <w:tcW w:w="1728" w:type="dxa"/>
          </w:tcPr>
          <w:p w14:paraId="1667404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&gt;0</w:t>
            </w:r>
          </w:p>
        </w:tc>
        <w:tc>
          <w:tcPr>
            <w:tcW w:w="1728" w:type="dxa"/>
          </w:tcPr>
          <w:p w14:paraId="23CFABB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</w:rPr>
              <w:t>≤0</w:t>
            </w:r>
          </w:p>
        </w:tc>
      </w:tr>
    </w:tbl>
    <w:p w14:paraId="04FC5E3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2.4 风控约束（20分）- 一票否决+逐日核验</w:t>
      </w:r>
    </w:p>
    <w:p w14:paraId="082511DD">
      <w:pPr>
        <w:rPr>
          <w:rFonts w:hint="eastAsia" w:ascii="微软雅黑" w:hAnsi="微软雅黑" w:eastAsia="微软雅黑" w:cs="微软雅黑"/>
          <w:color w:val="auto"/>
        </w:rPr>
      </w:pPr>
      <w:r>
        <w:t>一票否决机制：最大回撤&gt;20%、年化波动率&lt;5%或&gt;20%、平均总名义暴露&lt;10%或有效参与率&lt;70%→风控维度(20分)全部0分，不进入后续评分。</w:t>
      </w:r>
    </w:p>
    <w:p w14:paraId="53ED45E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风控指标达标（10分）：5项全达标=10分，4项=6分，3项=3分，&lt;3项=0分。5项指标：波动率8%-15%、回撤≤15%、VaR(99%)≤3%、单日亏损≤2%、周亏损≤5%。</w:t>
      </w:r>
    </w:p>
    <w:p w14:paraId="075B420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回撤控制（5分）：逐日核验持仓手数变化。90%以上正确触发=4分，70%=2分。</w:t>
      </w:r>
    </w:p>
    <w:p w14:paraId="7CF3C47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跨境约束（5分）：逐日核验境外名义价值占比≤40%，境外交易成本CNY计价。</w:t>
      </w:r>
    </w:p>
    <w:p w14:paraId="47738C31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2.5 信号生成（15分）- 严格统计检验</w:t>
      </w:r>
    </w:p>
    <w:p w14:paraId="4436323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因子验证（5分）：5因子全通过=5分，4个=3分，3个=1分。每因子严格检验：</w:t>
      </w:r>
    </w:p>
    <w:p w14:paraId="478B8C3E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TSMOM：不同板块间信号变异系数&gt;0.15（证明分板块使用不同参数）</w:t>
      </w:r>
    </w:p>
    <w:p w14:paraId="04ECEB51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XSMOM：多空比例差&lt;15%（证明截面排序）</w:t>
      </w:r>
    </w:p>
    <w:p w14:paraId="2E309A68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CARRY：|均值|&lt;0.2且0.5&lt;标准差&lt;1.5（证明截面标准化）</w:t>
      </w:r>
    </w:p>
    <w:p w14:paraId="4BB2F4FE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BREAKOUT：零值占比&gt;40%（证明仅在突破日产生信号）</w:t>
      </w:r>
    </w:p>
    <w:p w14:paraId="2DD264F6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MEANREV：零值占比&gt;50%且|均值|&lt;0.5（证明仅协整配对产生信号）</w:t>
      </w:r>
    </w:p>
    <w:p w14:paraId="33618C6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协整检验（5分）：代码中实现协整检验+MEANREV信号有效=5分。</w:t>
      </w:r>
    </w:p>
    <w:p w14:paraId="06E71D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冲突处理（5分）：3种以上方法=5分，2种=3分，1种=1分。</w:t>
      </w:r>
    </w:p>
    <w:p w14:paraId="48E92349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2.6 代码合规性（10分）</w:t>
      </w:r>
    </w:p>
    <w:p w14:paraId="0621D03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随机种子seed=42（2分）、库限制无违规（2分）、交易成本从contract_specs读取（2分）、汇率从macro_factors读取（2分）、4小时内完成（2分）。</w:t>
      </w:r>
    </w:p>
    <w:p w14:paraId="12408760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t>三、最终得分计算</w:t>
      </w:r>
    </w:p>
    <w:p w14:paraId="40894577">
      <w:pPr>
        <w:rPr>
          <w:rFonts w:hint="eastAsia" w:ascii="微软雅黑" w:hAnsi="微软雅黑" w:eastAsia="微软雅黑" w:cs="微软雅黑"/>
          <w:color w:val="auto"/>
        </w:rPr>
      </w:pPr>
      <w:r>
        <w:t>最终得分 = 自动化评分(80分) = 满分80分。</w:t>
      </w:r>
    </w:p>
    <w:p w14:paraId="501461A7">
      <w:pPr>
        <w:rPr>
          <w:rFonts w:hint="eastAsia" w:ascii="微软雅黑" w:hAnsi="微软雅黑" w:eastAsia="微软雅黑" w:cs="微软雅黑"/>
          <w:color w:val="auto"/>
        </w:rPr>
      </w:pPr>
      <w:r>
        <w:t>等级划分：A+(72-80)、A(64-71)、B(56-63)、C(48-55)、D(&lt;48)</w:t>
      </w:r>
    </w:p>
    <w:p w14:paraId="459331B4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t>四、评分方案附件</w:t>
      </w:r>
    </w:p>
    <w:p w14:paraId="145933F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eval_script.py、scoring_scheme.docx、standard_answer/nav_history.csv、standard_answer/signal_matrix.csv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招商证券体">
    <w:panose1 w:val="02000500000000000000"/>
    <w:charset w:val="86"/>
    <w:family w:val="auto"/>
    <w:pitch w:val="default"/>
    <w:sig w:usb0="A00002BF" w:usb1="18CF7CFA" w:usb2="00000016" w:usb3="00000000" w:csb0="00040093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78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</cp:lastModifiedBy>
  <dcterms:modified xsi:type="dcterms:W3CDTF">2026-05-25T06:47:40Z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C20D9D3CA07446D9BF63C88B329BE701_12</vt:lpwstr>
  </property>
</Properties>
</file>