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CC27" w14:textId="77777777" w:rsidR="000720D9" w:rsidRPr="0033310F" w:rsidRDefault="00000000">
      <w:pPr>
        <w:pStyle w:val="aa"/>
        <w:jc w:val="center"/>
        <w:rPr>
          <w:rFonts w:ascii="微软雅黑" w:eastAsia="微软雅黑" w:hAnsi="微软雅黑"/>
          <w:b/>
          <w:bCs/>
          <w:color w:val="auto"/>
          <w:lang w:eastAsia="zh-CN"/>
        </w:rPr>
      </w:pPr>
      <w:r w:rsidRPr="0033310F">
        <w:rPr>
          <w:rFonts w:ascii="微软雅黑" w:eastAsia="微软雅黑" w:hAnsi="微软雅黑"/>
          <w:b/>
          <w:bCs/>
          <w:color w:val="auto"/>
          <w:lang w:eastAsia="zh-CN"/>
        </w:rPr>
        <w:t>明德CTA基金风险管理政策与合规约束手</w:t>
      </w:r>
      <w:proofErr w:type="gramStart"/>
      <w:r w:rsidRPr="0033310F">
        <w:rPr>
          <w:rFonts w:ascii="微软雅黑" w:eastAsia="微软雅黑" w:hAnsi="微软雅黑"/>
          <w:b/>
          <w:bCs/>
          <w:color w:val="auto"/>
          <w:lang w:eastAsia="zh-CN"/>
        </w:rPr>
        <w:t>册</w:t>
      </w:r>
      <w:proofErr w:type="gramEnd"/>
    </w:p>
    <w:p w14:paraId="5AC4DFC4" w14:textId="1890D319" w:rsidR="000720D9" w:rsidRPr="0033310F" w:rsidRDefault="00000000">
      <w:pPr>
        <w:jc w:val="center"/>
        <w:rPr>
          <w:rFonts w:ascii="微软雅黑" w:eastAsia="微软雅黑" w:hAnsi="微软雅黑" w:hint="eastAsia"/>
        </w:rPr>
      </w:pPr>
      <w:r w:rsidRPr="0033310F">
        <w:rPr>
          <w:rFonts w:ascii="微软雅黑" w:eastAsia="微软雅黑" w:hAnsi="微软雅黑"/>
          <w:sz w:val="20"/>
        </w:rPr>
        <w:t>版本：V3.2 | 生效日期：2024年1月1日</w:t>
      </w:r>
    </w:p>
    <w:p w14:paraId="4DC935BF" w14:textId="77777777" w:rsidR="000720D9" w:rsidRPr="0033310F" w:rsidRDefault="000720D9">
      <w:pPr>
        <w:rPr>
          <w:rFonts w:ascii="微软雅黑" w:eastAsia="微软雅黑" w:hAnsi="微软雅黑" w:hint="eastAsia"/>
        </w:rPr>
      </w:pPr>
    </w:p>
    <w:p w14:paraId="3B1FCE88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一、基金概况与投资范围</w:t>
      </w:r>
    </w:p>
    <w:p w14:paraId="4E4311B2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1.1 基金基本信息</w:t>
      </w:r>
    </w:p>
    <w:p w14:paraId="7E0AAEC7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b/>
          <w:lang w:eastAsia="zh-CN"/>
        </w:rPr>
        <w:t>基金名称：</w:t>
      </w:r>
      <w:r w:rsidRPr="0033310F">
        <w:rPr>
          <w:rFonts w:ascii="微软雅黑" w:eastAsia="微软雅黑" w:hAnsi="微软雅黑"/>
          <w:lang w:eastAsia="zh-CN"/>
        </w:rPr>
        <w:t>明德跨境商品期货CTA基金</w:t>
      </w:r>
    </w:p>
    <w:p w14:paraId="7AE015AE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b/>
          <w:lang w:eastAsia="zh-CN"/>
        </w:rPr>
        <w:t>基金类型：</w:t>
      </w:r>
      <w:r w:rsidRPr="0033310F">
        <w:rPr>
          <w:rFonts w:ascii="微软雅黑" w:eastAsia="微软雅黑" w:hAnsi="微软雅黑"/>
          <w:lang w:eastAsia="zh-CN"/>
        </w:rPr>
        <w:t>管理期货策略（CTA）/ 量化对冲</w:t>
      </w:r>
    </w:p>
    <w:p w14:paraId="01ACAB20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b/>
          <w:lang w:eastAsia="zh-CN"/>
        </w:rPr>
        <w:t>基金规模：</w:t>
      </w:r>
      <w:r w:rsidRPr="0033310F">
        <w:rPr>
          <w:rFonts w:ascii="微软雅黑" w:eastAsia="微软雅黑" w:hAnsi="微软雅黑"/>
          <w:lang w:eastAsia="zh-CN"/>
        </w:rPr>
        <w:t>人民币15亿元（等值）</w:t>
      </w:r>
    </w:p>
    <w:p w14:paraId="582DA84A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b/>
          <w:lang w:eastAsia="zh-CN"/>
        </w:rPr>
        <w:t>投资范围：</w:t>
      </w:r>
      <w:r w:rsidRPr="0033310F">
        <w:rPr>
          <w:rFonts w:ascii="微软雅黑" w:eastAsia="微软雅黑" w:hAnsi="微软雅黑"/>
          <w:lang w:eastAsia="zh-CN"/>
        </w:rPr>
        <w:t>境内</w:t>
      </w:r>
      <w:proofErr w:type="gramStart"/>
      <w:r w:rsidRPr="0033310F">
        <w:rPr>
          <w:rFonts w:ascii="微软雅黑" w:eastAsia="微软雅黑" w:hAnsi="微软雅黑"/>
          <w:lang w:eastAsia="zh-CN"/>
        </w:rPr>
        <w:t>外商品</w:t>
      </w:r>
      <w:proofErr w:type="gramEnd"/>
      <w:r w:rsidRPr="0033310F">
        <w:rPr>
          <w:rFonts w:ascii="微软雅黑" w:eastAsia="微软雅黑" w:hAnsi="微软雅黑"/>
          <w:lang w:eastAsia="zh-CN"/>
        </w:rPr>
        <w:t>期货及衍生品，涵盖上海期货交易所（SHFE）、大连商品交易所（DCE）、郑州商品交易所（CZCE）、上海国际能源交易中心（INE）、芝加哥商品交易所（CME/NYMEX/COMEX/CBOT）、洲际交易所（ICE）、伦敦金属交易所（LME）等主要交易所的标准化期货合约及期权合约。</w:t>
      </w:r>
    </w:p>
    <w:p w14:paraId="6A9E0B87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b/>
          <w:lang w:eastAsia="zh-CN"/>
        </w:rPr>
        <w:t>投资策略：</w:t>
      </w:r>
      <w:r w:rsidRPr="0033310F">
        <w:rPr>
          <w:rFonts w:ascii="微软雅黑" w:eastAsia="微软雅黑" w:hAnsi="微软雅黑"/>
          <w:lang w:eastAsia="zh-CN"/>
        </w:rPr>
        <w:t>多因子CTA策略，包含时间序列动量、截面动量、Carry/Basis、波动率突破、均值回归等子策略，通过动态风险预算分配实现组合层面的最优化配置。</w:t>
      </w:r>
    </w:p>
    <w:p w14:paraId="4C2D396C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1.2 投资目标与约束</w:t>
      </w:r>
    </w:p>
    <w:p w14:paraId="7E00B5FA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本基金以绝对收益为目标，追求在控制最大回撤的前提下实现长期稳定的正收益。基金采用系统化量化交易方法，通过多策略、多品种、多周期的组合分散风险，同时运用动态风险预算机制在不同市场环境下自适应调整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与策略权重。</w:t>
      </w:r>
    </w:p>
    <w:p w14:paraId="7C523E8A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lastRenderedPageBreak/>
        <w:t>基金的核心投资约束包括：</w:t>
      </w:r>
      <w:proofErr w:type="gramStart"/>
      <w:r w:rsidRPr="0033310F">
        <w:rPr>
          <w:rFonts w:ascii="微软雅黑" w:eastAsia="微软雅黑" w:hAnsi="微软雅黑"/>
          <w:lang w:eastAsia="zh-CN"/>
        </w:rPr>
        <w:t>年化波动</w:t>
      </w:r>
      <w:proofErr w:type="gramEnd"/>
      <w:r w:rsidRPr="0033310F">
        <w:rPr>
          <w:rFonts w:ascii="微软雅黑" w:eastAsia="微软雅黑" w:hAnsi="微软雅黑"/>
          <w:lang w:eastAsia="zh-CN"/>
        </w:rPr>
        <w:t>率目标8%-15%，最大回撤不超过15%，单一品种持仓不超过基金净值的10%，单一板块持仓不超过基金净值的30%，境外投资比例不超过基金净值的40%。所有投资决策必须基于量化模型信号，禁止主观交易。</w:t>
      </w:r>
    </w:p>
    <w:p w14:paraId="7A3624BF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二、风险限额体系</w:t>
      </w:r>
    </w:p>
    <w:p w14:paraId="0A2CB3E4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2.1 组合层面风险限额</w:t>
      </w:r>
    </w:p>
    <w:p w14:paraId="6FFDF915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组合层面的风险限额是基金风险管理的核心框架，所有策略和品种的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配置必须在此框架内运行。以下限额基于基金净值计算，每日收盘后重新评估。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310F" w:rsidRPr="0033310F" w14:paraId="47268FF6" w14:textId="77777777">
        <w:trPr>
          <w:jc w:val="center"/>
        </w:trPr>
        <w:tc>
          <w:tcPr>
            <w:tcW w:w="2160" w:type="dxa"/>
          </w:tcPr>
          <w:p w14:paraId="7D4990DD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b/>
                <w:sz w:val="20"/>
              </w:rPr>
              <w:t>风险指标</w:t>
            </w:r>
            <w:proofErr w:type="spellEnd"/>
          </w:p>
        </w:tc>
        <w:tc>
          <w:tcPr>
            <w:tcW w:w="2160" w:type="dxa"/>
          </w:tcPr>
          <w:p w14:paraId="0A47606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限额标准</w:t>
            </w:r>
          </w:p>
        </w:tc>
        <w:tc>
          <w:tcPr>
            <w:tcW w:w="2160" w:type="dxa"/>
          </w:tcPr>
          <w:p w14:paraId="6F4A1B7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计算方法</w:t>
            </w:r>
          </w:p>
        </w:tc>
        <w:tc>
          <w:tcPr>
            <w:tcW w:w="2160" w:type="dxa"/>
          </w:tcPr>
          <w:p w14:paraId="090CB27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监控频率</w:t>
            </w:r>
          </w:p>
        </w:tc>
      </w:tr>
      <w:tr w:rsidR="0033310F" w:rsidRPr="0033310F" w14:paraId="2E4929C8" w14:textId="77777777">
        <w:trPr>
          <w:jc w:val="center"/>
        </w:trPr>
        <w:tc>
          <w:tcPr>
            <w:tcW w:w="2160" w:type="dxa"/>
          </w:tcPr>
          <w:p w14:paraId="2D6DB45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年化波动率</w:t>
            </w:r>
            <w:proofErr w:type="spellEnd"/>
          </w:p>
        </w:tc>
        <w:tc>
          <w:tcPr>
            <w:tcW w:w="2160" w:type="dxa"/>
          </w:tcPr>
          <w:p w14:paraId="64AB937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8%-15%</w:t>
            </w:r>
          </w:p>
        </w:tc>
        <w:tc>
          <w:tcPr>
            <w:tcW w:w="2160" w:type="dxa"/>
          </w:tcPr>
          <w:p w14:paraId="254528BB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过去60日日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收益率年化标准差</w:t>
            </w:r>
            <w:proofErr w:type="gramEnd"/>
          </w:p>
        </w:tc>
        <w:tc>
          <w:tcPr>
            <w:tcW w:w="2160" w:type="dxa"/>
          </w:tcPr>
          <w:p w14:paraId="6938420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27A9BCBD" w14:textId="77777777">
        <w:trPr>
          <w:jc w:val="center"/>
        </w:trPr>
        <w:tc>
          <w:tcPr>
            <w:tcW w:w="2160" w:type="dxa"/>
          </w:tcPr>
          <w:p w14:paraId="47D4BC71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最大回撤</w:t>
            </w:r>
          </w:p>
        </w:tc>
        <w:tc>
          <w:tcPr>
            <w:tcW w:w="2160" w:type="dxa"/>
          </w:tcPr>
          <w:p w14:paraId="474E0C46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≤15%</w:t>
            </w:r>
          </w:p>
        </w:tc>
        <w:tc>
          <w:tcPr>
            <w:tcW w:w="2160" w:type="dxa"/>
          </w:tcPr>
          <w:p w14:paraId="1839AF60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净值峰值至谷底最大跌幅</w:t>
            </w:r>
          </w:p>
        </w:tc>
        <w:tc>
          <w:tcPr>
            <w:tcW w:w="2160" w:type="dxa"/>
          </w:tcPr>
          <w:p w14:paraId="7809B676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1BEFE470" w14:textId="77777777">
        <w:trPr>
          <w:jc w:val="center"/>
        </w:trPr>
        <w:tc>
          <w:tcPr>
            <w:tcW w:w="2160" w:type="dxa"/>
          </w:tcPr>
          <w:p w14:paraId="35BA597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单日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</w:rPr>
              <w:t>VaR(</w:t>
            </w:r>
            <w:proofErr w:type="gramEnd"/>
            <w:r w:rsidRPr="0033310F">
              <w:rPr>
                <w:rFonts w:ascii="微软雅黑" w:eastAsia="微软雅黑" w:hAnsi="微软雅黑"/>
                <w:sz w:val="20"/>
              </w:rPr>
              <w:t>99%)</w:t>
            </w:r>
          </w:p>
        </w:tc>
        <w:tc>
          <w:tcPr>
            <w:tcW w:w="2160" w:type="dxa"/>
          </w:tcPr>
          <w:p w14:paraId="49078DB6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≤基金净值3%</w:t>
            </w:r>
          </w:p>
        </w:tc>
        <w:tc>
          <w:tcPr>
            <w:tcW w:w="2160" w:type="dxa"/>
          </w:tcPr>
          <w:p w14:paraId="41D46AA4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历史模拟法，250日滚动窗口</w:t>
            </w:r>
          </w:p>
        </w:tc>
        <w:tc>
          <w:tcPr>
            <w:tcW w:w="2160" w:type="dxa"/>
          </w:tcPr>
          <w:p w14:paraId="0D0BE229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31C83E19" w14:textId="77777777">
        <w:trPr>
          <w:jc w:val="center"/>
        </w:trPr>
        <w:tc>
          <w:tcPr>
            <w:tcW w:w="2160" w:type="dxa"/>
          </w:tcPr>
          <w:p w14:paraId="5D1B503D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单日最大亏损</w:t>
            </w:r>
          </w:p>
        </w:tc>
        <w:tc>
          <w:tcPr>
            <w:tcW w:w="2160" w:type="dxa"/>
          </w:tcPr>
          <w:p w14:paraId="7BE20CC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≤基金净值2%</w:t>
            </w:r>
          </w:p>
        </w:tc>
        <w:tc>
          <w:tcPr>
            <w:tcW w:w="2160" w:type="dxa"/>
          </w:tcPr>
          <w:p w14:paraId="2A11E9B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当日已实现亏损</w:t>
            </w:r>
          </w:p>
        </w:tc>
        <w:tc>
          <w:tcPr>
            <w:tcW w:w="2160" w:type="dxa"/>
          </w:tcPr>
          <w:p w14:paraId="0C40ECC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实时</w:t>
            </w:r>
          </w:p>
        </w:tc>
      </w:tr>
      <w:tr w:rsidR="0033310F" w:rsidRPr="0033310F" w14:paraId="6160B5F7" w14:textId="77777777">
        <w:trPr>
          <w:jc w:val="center"/>
        </w:trPr>
        <w:tc>
          <w:tcPr>
            <w:tcW w:w="2160" w:type="dxa"/>
          </w:tcPr>
          <w:p w14:paraId="6A031A9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周最大亏损</w:t>
            </w:r>
            <w:proofErr w:type="spellEnd"/>
          </w:p>
        </w:tc>
        <w:tc>
          <w:tcPr>
            <w:tcW w:w="2160" w:type="dxa"/>
          </w:tcPr>
          <w:p w14:paraId="141F5CE9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≤基金净值5%</w:t>
            </w:r>
          </w:p>
        </w:tc>
        <w:tc>
          <w:tcPr>
            <w:tcW w:w="2160" w:type="dxa"/>
          </w:tcPr>
          <w:p w14:paraId="123C1284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当周累计已实现+浮动亏损</w:t>
            </w:r>
          </w:p>
        </w:tc>
        <w:tc>
          <w:tcPr>
            <w:tcW w:w="2160" w:type="dxa"/>
          </w:tcPr>
          <w:p w14:paraId="259F0A7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3D583A56" w14:textId="77777777">
        <w:trPr>
          <w:jc w:val="center"/>
        </w:trPr>
        <w:tc>
          <w:tcPr>
            <w:tcW w:w="2160" w:type="dxa"/>
          </w:tcPr>
          <w:p w14:paraId="5631BCE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月最大亏损</w:t>
            </w:r>
          </w:p>
        </w:tc>
        <w:tc>
          <w:tcPr>
            <w:tcW w:w="2160" w:type="dxa"/>
          </w:tcPr>
          <w:p w14:paraId="4D294455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≤基金净值8%</w:t>
            </w:r>
          </w:p>
        </w:tc>
        <w:tc>
          <w:tcPr>
            <w:tcW w:w="2160" w:type="dxa"/>
          </w:tcPr>
          <w:p w14:paraId="432F5D3A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当月累计已实现+浮动亏损</w:t>
            </w:r>
          </w:p>
        </w:tc>
        <w:tc>
          <w:tcPr>
            <w:tcW w:w="2160" w:type="dxa"/>
          </w:tcPr>
          <w:p w14:paraId="0B18469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118CC24A" w14:textId="77777777">
        <w:trPr>
          <w:jc w:val="center"/>
        </w:trPr>
        <w:tc>
          <w:tcPr>
            <w:tcW w:w="2160" w:type="dxa"/>
          </w:tcPr>
          <w:p w14:paraId="7CC2D346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Calmar比率</w:t>
            </w:r>
          </w:p>
        </w:tc>
        <w:tc>
          <w:tcPr>
            <w:tcW w:w="2160" w:type="dxa"/>
          </w:tcPr>
          <w:p w14:paraId="5930230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≥0.5</w:t>
            </w:r>
          </w:p>
        </w:tc>
        <w:tc>
          <w:tcPr>
            <w:tcW w:w="2160" w:type="dxa"/>
          </w:tcPr>
          <w:p w14:paraId="26BDCF64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年化收益率/最大回撤</w:t>
            </w:r>
          </w:p>
        </w:tc>
        <w:tc>
          <w:tcPr>
            <w:tcW w:w="2160" w:type="dxa"/>
          </w:tcPr>
          <w:p w14:paraId="5AC9FA1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</w:p>
        </w:tc>
      </w:tr>
      <w:tr w:rsidR="0033310F" w:rsidRPr="0033310F" w14:paraId="1512BE25" w14:textId="77777777">
        <w:trPr>
          <w:jc w:val="center"/>
        </w:trPr>
        <w:tc>
          <w:tcPr>
            <w:tcW w:w="2160" w:type="dxa"/>
          </w:tcPr>
          <w:p w14:paraId="60065A9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Sortino比率</w:t>
            </w:r>
            <w:proofErr w:type="spellEnd"/>
          </w:p>
        </w:tc>
        <w:tc>
          <w:tcPr>
            <w:tcW w:w="2160" w:type="dxa"/>
          </w:tcPr>
          <w:p w14:paraId="6ECF08A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≥1.0</w:t>
            </w:r>
          </w:p>
        </w:tc>
        <w:tc>
          <w:tcPr>
            <w:tcW w:w="2160" w:type="dxa"/>
          </w:tcPr>
          <w:p w14:paraId="178CFEA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年化收益率/下行偏差</w:t>
            </w:r>
          </w:p>
        </w:tc>
        <w:tc>
          <w:tcPr>
            <w:tcW w:w="2160" w:type="dxa"/>
          </w:tcPr>
          <w:p w14:paraId="17117DC5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</w:p>
        </w:tc>
      </w:tr>
    </w:tbl>
    <w:p w14:paraId="0B15412D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</w:rPr>
      </w:pPr>
      <w:r w:rsidRPr="0033310F">
        <w:rPr>
          <w:rFonts w:ascii="微软雅黑" w:eastAsia="微软雅黑" w:hAnsi="微软雅黑"/>
          <w:color w:val="auto"/>
        </w:rPr>
        <w:t xml:space="preserve">2.2 </w:t>
      </w:r>
      <w:proofErr w:type="spellStart"/>
      <w:r w:rsidRPr="0033310F">
        <w:rPr>
          <w:rFonts w:ascii="微软雅黑" w:eastAsia="微软雅黑" w:hAnsi="微软雅黑"/>
          <w:color w:val="auto"/>
        </w:rPr>
        <w:t>品种层面风险限额</w:t>
      </w:r>
      <w:proofErr w:type="spellEnd"/>
    </w:p>
    <w:p w14:paraId="49720382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每个品种的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和风险暴露必须满足以下约束条件，确保单一品种的异常波动不会对基金整体造成过大冲击。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310F" w:rsidRPr="0033310F" w14:paraId="10EF2B7A" w14:textId="77777777">
        <w:trPr>
          <w:jc w:val="center"/>
        </w:trPr>
        <w:tc>
          <w:tcPr>
            <w:tcW w:w="2160" w:type="dxa"/>
          </w:tcPr>
          <w:p w14:paraId="35FD79D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b/>
                <w:sz w:val="20"/>
              </w:rPr>
              <w:t>约束指标</w:t>
            </w:r>
            <w:proofErr w:type="spellEnd"/>
          </w:p>
        </w:tc>
        <w:tc>
          <w:tcPr>
            <w:tcW w:w="2160" w:type="dxa"/>
          </w:tcPr>
          <w:p w14:paraId="5838820D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限额标准</w:t>
            </w:r>
          </w:p>
        </w:tc>
        <w:tc>
          <w:tcPr>
            <w:tcW w:w="2160" w:type="dxa"/>
          </w:tcPr>
          <w:p w14:paraId="0AE20F1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适用范围</w:t>
            </w:r>
          </w:p>
        </w:tc>
        <w:tc>
          <w:tcPr>
            <w:tcW w:w="2160" w:type="dxa"/>
          </w:tcPr>
          <w:p w14:paraId="1D6A453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备注</w:t>
            </w:r>
          </w:p>
        </w:tc>
      </w:tr>
      <w:tr w:rsidR="0033310F" w:rsidRPr="0033310F" w14:paraId="437C33F4" w14:textId="77777777">
        <w:trPr>
          <w:jc w:val="center"/>
        </w:trPr>
        <w:tc>
          <w:tcPr>
            <w:tcW w:w="2160" w:type="dxa"/>
          </w:tcPr>
          <w:p w14:paraId="4263938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单一品种持仓占比</w:t>
            </w:r>
            <w:proofErr w:type="spellEnd"/>
          </w:p>
        </w:tc>
        <w:tc>
          <w:tcPr>
            <w:tcW w:w="2160" w:type="dxa"/>
          </w:tcPr>
          <w:p w14:paraId="011F8254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≤基金净值10%</w:t>
            </w:r>
          </w:p>
        </w:tc>
        <w:tc>
          <w:tcPr>
            <w:tcW w:w="2160" w:type="dxa"/>
          </w:tcPr>
          <w:p w14:paraId="30D793A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所有品种</w:t>
            </w:r>
          </w:p>
        </w:tc>
        <w:tc>
          <w:tcPr>
            <w:tcW w:w="2160" w:type="dxa"/>
          </w:tcPr>
          <w:p w14:paraId="59483DE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含期货合约名义价值</w:t>
            </w:r>
          </w:p>
        </w:tc>
      </w:tr>
      <w:tr w:rsidR="0033310F" w:rsidRPr="0033310F" w14:paraId="382642A0" w14:textId="77777777">
        <w:trPr>
          <w:jc w:val="center"/>
        </w:trPr>
        <w:tc>
          <w:tcPr>
            <w:tcW w:w="2160" w:type="dxa"/>
          </w:tcPr>
          <w:p w14:paraId="0EE1F60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单一板块持仓占比</w:t>
            </w:r>
            <w:proofErr w:type="spellEnd"/>
          </w:p>
        </w:tc>
        <w:tc>
          <w:tcPr>
            <w:tcW w:w="2160" w:type="dxa"/>
          </w:tcPr>
          <w:p w14:paraId="0DA9257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≤基金净值30%</w:t>
            </w:r>
          </w:p>
        </w:tc>
        <w:tc>
          <w:tcPr>
            <w:tcW w:w="2160" w:type="dxa"/>
          </w:tcPr>
          <w:p w14:paraId="2D0F30C8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有色金属/黑色系/农产品/能源/贵金属/化工</w:t>
            </w:r>
          </w:p>
        </w:tc>
        <w:tc>
          <w:tcPr>
            <w:tcW w:w="2160" w:type="dxa"/>
          </w:tcPr>
          <w:p w14:paraId="3ACF275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板块分类见附件</w:t>
            </w:r>
            <w:proofErr w:type="spellEnd"/>
          </w:p>
        </w:tc>
      </w:tr>
      <w:tr w:rsidR="0033310F" w:rsidRPr="0033310F" w14:paraId="04BB0A3D" w14:textId="77777777">
        <w:trPr>
          <w:jc w:val="center"/>
        </w:trPr>
        <w:tc>
          <w:tcPr>
            <w:tcW w:w="2160" w:type="dxa"/>
          </w:tcPr>
          <w:p w14:paraId="2ED6C92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单一品种风险贡献</w:t>
            </w:r>
            <w:proofErr w:type="spellEnd"/>
          </w:p>
        </w:tc>
        <w:tc>
          <w:tcPr>
            <w:tcW w:w="2160" w:type="dxa"/>
          </w:tcPr>
          <w:p w14:paraId="00F056A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≤组合总风险25%</w:t>
            </w:r>
          </w:p>
        </w:tc>
        <w:tc>
          <w:tcPr>
            <w:tcW w:w="2160" w:type="dxa"/>
          </w:tcPr>
          <w:p w14:paraId="1F3A25C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所有品种</w:t>
            </w:r>
          </w:p>
        </w:tc>
        <w:tc>
          <w:tcPr>
            <w:tcW w:w="2160" w:type="dxa"/>
          </w:tcPr>
          <w:p w14:paraId="14C92C74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基于边际VaR贡献</w:t>
            </w:r>
          </w:p>
        </w:tc>
      </w:tr>
      <w:tr w:rsidR="0033310F" w:rsidRPr="0033310F" w14:paraId="5B87FE01" w14:textId="77777777">
        <w:trPr>
          <w:jc w:val="center"/>
        </w:trPr>
        <w:tc>
          <w:tcPr>
            <w:tcW w:w="2160" w:type="dxa"/>
          </w:tcPr>
          <w:p w14:paraId="168488D0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lastRenderedPageBreak/>
              <w:t>单一品种保证金占比</w:t>
            </w:r>
            <w:proofErr w:type="spellEnd"/>
          </w:p>
        </w:tc>
        <w:tc>
          <w:tcPr>
            <w:tcW w:w="2160" w:type="dxa"/>
          </w:tcPr>
          <w:p w14:paraId="758149B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≤基金净值15%</w:t>
            </w:r>
          </w:p>
        </w:tc>
        <w:tc>
          <w:tcPr>
            <w:tcW w:w="2160" w:type="dxa"/>
          </w:tcPr>
          <w:p w14:paraId="7BF527B6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所有品种</w:t>
            </w:r>
          </w:p>
        </w:tc>
        <w:tc>
          <w:tcPr>
            <w:tcW w:w="2160" w:type="dxa"/>
          </w:tcPr>
          <w:p w14:paraId="070164E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含开仓保证金</w:t>
            </w:r>
          </w:p>
        </w:tc>
      </w:tr>
      <w:tr w:rsidR="0033310F" w:rsidRPr="0033310F" w14:paraId="37956285" w14:textId="77777777">
        <w:trPr>
          <w:jc w:val="center"/>
        </w:trPr>
        <w:tc>
          <w:tcPr>
            <w:tcW w:w="2160" w:type="dxa"/>
          </w:tcPr>
          <w:p w14:paraId="0B28464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境外品种总持仓占比</w:t>
            </w:r>
            <w:proofErr w:type="spellEnd"/>
          </w:p>
        </w:tc>
        <w:tc>
          <w:tcPr>
            <w:tcW w:w="2160" w:type="dxa"/>
          </w:tcPr>
          <w:p w14:paraId="231CEA6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≤基金净值40%</w:t>
            </w:r>
          </w:p>
        </w:tc>
        <w:tc>
          <w:tcPr>
            <w:tcW w:w="2160" w:type="dxa"/>
          </w:tcPr>
          <w:p w14:paraId="275A799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所有境外品种</w:t>
            </w:r>
          </w:p>
        </w:tc>
        <w:tc>
          <w:tcPr>
            <w:tcW w:w="2160" w:type="dxa"/>
          </w:tcPr>
          <w:p w14:paraId="54F78AD1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含汇率折算</w:t>
            </w:r>
          </w:p>
        </w:tc>
      </w:tr>
      <w:tr w:rsidR="0033310F" w:rsidRPr="0033310F" w14:paraId="4A1C1C79" w14:textId="77777777">
        <w:trPr>
          <w:jc w:val="center"/>
        </w:trPr>
        <w:tc>
          <w:tcPr>
            <w:tcW w:w="2160" w:type="dxa"/>
          </w:tcPr>
          <w:p w14:paraId="78F1660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近月合约持仓占比</w:t>
            </w:r>
            <w:proofErr w:type="spellEnd"/>
          </w:p>
        </w:tc>
        <w:tc>
          <w:tcPr>
            <w:tcW w:w="2160" w:type="dxa"/>
          </w:tcPr>
          <w:p w14:paraId="5FE4E37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≤该品种总持仓60%</w:t>
            </w:r>
          </w:p>
        </w:tc>
        <w:tc>
          <w:tcPr>
            <w:tcW w:w="2160" w:type="dxa"/>
          </w:tcPr>
          <w:p w14:paraId="6AF7A8B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所有品种</w:t>
            </w:r>
          </w:p>
        </w:tc>
        <w:tc>
          <w:tcPr>
            <w:tcW w:w="2160" w:type="dxa"/>
          </w:tcPr>
          <w:p w14:paraId="3A1170AB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到期前5个交易日强制移仓</w:t>
            </w:r>
          </w:p>
        </w:tc>
      </w:tr>
    </w:tbl>
    <w:p w14:paraId="337D2B52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2.3 策略层面风险限额</w:t>
      </w:r>
    </w:p>
    <w:p w14:paraId="63F3A8B3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每个子策略的风险预算和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必须满足以下约束。策略层面的风险预算采用动态分配机制，根据策略近期表现和市场环境自适应调整。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310F" w:rsidRPr="0033310F" w14:paraId="392CF26D" w14:textId="77777777">
        <w:trPr>
          <w:jc w:val="center"/>
        </w:trPr>
        <w:tc>
          <w:tcPr>
            <w:tcW w:w="2160" w:type="dxa"/>
          </w:tcPr>
          <w:p w14:paraId="159BD8E9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b/>
                <w:sz w:val="20"/>
              </w:rPr>
              <w:t>约束指标</w:t>
            </w:r>
            <w:proofErr w:type="spellEnd"/>
          </w:p>
        </w:tc>
        <w:tc>
          <w:tcPr>
            <w:tcW w:w="2160" w:type="dxa"/>
          </w:tcPr>
          <w:p w14:paraId="16DD1C1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限额标准</w:t>
            </w:r>
          </w:p>
        </w:tc>
        <w:tc>
          <w:tcPr>
            <w:tcW w:w="2160" w:type="dxa"/>
          </w:tcPr>
          <w:p w14:paraId="3B8C6A9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计算方法</w:t>
            </w:r>
          </w:p>
        </w:tc>
        <w:tc>
          <w:tcPr>
            <w:tcW w:w="2160" w:type="dxa"/>
          </w:tcPr>
          <w:p w14:paraId="14E1E57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调整频率</w:t>
            </w:r>
          </w:p>
        </w:tc>
      </w:tr>
      <w:tr w:rsidR="0033310F" w:rsidRPr="0033310F" w14:paraId="6891859D" w14:textId="77777777">
        <w:trPr>
          <w:jc w:val="center"/>
        </w:trPr>
        <w:tc>
          <w:tcPr>
            <w:tcW w:w="2160" w:type="dxa"/>
          </w:tcPr>
          <w:p w14:paraId="0C5D248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单一策略风险预算</w:t>
            </w:r>
            <w:proofErr w:type="spellEnd"/>
          </w:p>
        </w:tc>
        <w:tc>
          <w:tcPr>
            <w:tcW w:w="2160" w:type="dxa"/>
          </w:tcPr>
          <w:p w14:paraId="6C4F1C3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≤组合总风险40%</w:t>
            </w:r>
          </w:p>
        </w:tc>
        <w:tc>
          <w:tcPr>
            <w:tcW w:w="2160" w:type="dxa"/>
          </w:tcPr>
          <w:p w14:paraId="31FA6DA1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策略边际风险贡献/组合总风险</w:t>
            </w:r>
          </w:p>
        </w:tc>
        <w:tc>
          <w:tcPr>
            <w:tcW w:w="2160" w:type="dxa"/>
          </w:tcPr>
          <w:p w14:paraId="6F4C98D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  <w:proofErr w:type="spellEnd"/>
          </w:p>
        </w:tc>
      </w:tr>
      <w:tr w:rsidR="0033310F" w:rsidRPr="0033310F" w14:paraId="50A536E1" w14:textId="77777777">
        <w:trPr>
          <w:jc w:val="center"/>
        </w:trPr>
        <w:tc>
          <w:tcPr>
            <w:tcW w:w="2160" w:type="dxa"/>
          </w:tcPr>
          <w:p w14:paraId="31BFD9BD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策略最大回撤</w:t>
            </w:r>
          </w:p>
        </w:tc>
        <w:tc>
          <w:tcPr>
            <w:tcW w:w="2160" w:type="dxa"/>
          </w:tcPr>
          <w:p w14:paraId="2810EB3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≤策略净值20%</w:t>
            </w:r>
          </w:p>
        </w:tc>
        <w:tc>
          <w:tcPr>
            <w:tcW w:w="2160" w:type="dxa"/>
          </w:tcPr>
          <w:p w14:paraId="2C1DA395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策略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独立回测</w:t>
            </w:r>
            <w:proofErr w:type="gramEnd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净值峰值至谷底</w:t>
            </w:r>
          </w:p>
        </w:tc>
        <w:tc>
          <w:tcPr>
            <w:tcW w:w="2160" w:type="dxa"/>
          </w:tcPr>
          <w:p w14:paraId="081960D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每日</w:t>
            </w:r>
            <w:proofErr w:type="spellEnd"/>
          </w:p>
        </w:tc>
      </w:tr>
      <w:tr w:rsidR="0033310F" w:rsidRPr="0033310F" w14:paraId="2A0365BB" w14:textId="77777777">
        <w:trPr>
          <w:jc w:val="center"/>
        </w:trPr>
        <w:tc>
          <w:tcPr>
            <w:tcW w:w="2160" w:type="dxa"/>
          </w:tcPr>
          <w:p w14:paraId="6D372B9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策略夏普比率下限</w:t>
            </w:r>
          </w:p>
        </w:tc>
        <w:tc>
          <w:tcPr>
            <w:tcW w:w="2160" w:type="dxa"/>
          </w:tcPr>
          <w:p w14:paraId="7890B94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≥0.3(滚动3年)</w:t>
            </w:r>
          </w:p>
        </w:tc>
        <w:tc>
          <w:tcPr>
            <w:tcW w:w="2160" w:type="dxa"/>
          </w:tcPr>
          <w:p w14:paraId="63213FF2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年化超额</w:t>
            </w:r>
            <w:proofErr w:type="gramEnd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收益/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年化标准差</w:t>
            </w:r>
            <w:proofErr w:type="gramEnd"/>
          </w:p>
        </w:tc>
        <w:tc>
          <w:tcPr>
            <w:tcW w:w="2160" w:type="dxa"/>
          </w:tcPr>
          <w:p w14:paraId="0D9F0EB1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  <w:proofErr w:type="spellEnd"/>
          </w:p>
        </w:tc>
      </w:tr>
      <w:tr w:rsidR="0033310F" w:rsidRPr="0033310F" w14:paraId="4E4F87D2" w14:textId="77777777">
        <w:trPr>
          <w:jc w:val="center"/>
        </w:trPr>
        <w:tc>
          <w:tcPr>
            <w:tcW w:w="2160" w:type="dxa"/>
          </w:tcPr>
          <w:p w14:paraId="5F62911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策略相关性上限</w:t>
            </w:r>
          </w:p>
        </w:tc>
        <w:tc>
          <w:tcPr>
            <w:tcW w:w="2160" w:type="dxa"/>
          </w:tcPr>
          <w:p w14:paraId="63644D15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≤0.7(两两之间)</w:t>
            </w:r>
          </w:p>
        </w:tc>
        <w:tc>
          <w:tcPr>
            <w:tcW w:w="2160" w:type="dxa"/>
          </w:tcPr>
          <w:p w14:paraId="19EE0DE6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60日滚动收益率相关系数</w:t>
            </w:r>
          </w:p>
        </w:tc>
        <w:tc>
          <w:tcPr>
            <w:tcW w:w="2160" w:type="dxa"/>
          </w:tcPr>
          <w:p w14:paraId="5C98004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  <w:proofErr w:type="spellEnd"/>
          </w:p>
        </w:tc>
      </w:tr>
      <w:tr w:rsidR="0033310F" w:rsidRPr="0033310F" w14:paraId="39A5C742" w14:textId="77777777">
        <w:trPr>
          <w:jc w:val="center"/>
        </w:trPr>
        <w:tc>
          <w:tcPr>
            <w:tcW w:w="2160" w:type="dxa"/>
          </w:tcPr>
          <w:p w14:paraId="5C1A6FEF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策略最低配置权重</w:t>
            </w:r>
          </w:p>
        </w:tc>
        <w:tc>
          <w:tcPr>
            <w:tcW w:w="2160" w:type="dxa"/>
          </w:tcPr>
          <w:p w14:paraId="7D450C3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≥5%</w:t>
            </w:r>
          </w:p>
        </w:tc>
        <w:tc>
          <w:tcPr>
            <w:tcW w:w="2160" w:type="dxa"/>
          </w:tcPr>
          <w:p w14:paraId="5CF1DB57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风险预算分配权重</w:t>
            </w:r>
          </w:p>
        </w:tc>
        <w:tc>
          <w:tcPr>
            <w:tcW w:w="2160" w:type="dxa"/>
          </w:tcPr>
          <w:p w14:paraId="45787824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每月</w:t>
            </w:r>
          </w:p>
        </w:tc>
      </w:tr>
    </w:tbl>
    <w:p w14:paraId="27DA0213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三、回撤控制机制</w:t>
      </w:r>
    </w:p>
    <w:p w14:paraId="718E573C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3.1 分级回撤控制</w:t>
      </w:r>
    </w:p>
    <w:p w14:paraId="7CB58BCF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基金实行分级回撤控制机制，根据回撤深度逐步降低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，确保在极端市场环境下基金净值不会出现失控性下跌。回撤控制分为四个等级，每个等级对应不同的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上限和风控措施。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310F" w:rsidRPr="0033310F" w14:paraId="13A1F857" w14:textId="77777777">
        <w:trPr>
          <w:jc w:val="center"/>
        </w:trPr>
        <w:tc>
          <w:tcPr>
            <w:tcW w:w="1728" w:type="dxa"/>
          </w:tcPr>
          <w:p w14:paraId="5BC17D8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b/>
                <w:sz w:val="20"/>
              </w:rPr>
              <w:t>回撤等级</w:t>
            </w:r>
            <w:proofErr w:type="spellEnd"/>
          </w:p>
        </w:tc>
        <w:tc>
          <w:tcPr>
            <w:tcW w:w="1728" w:type="dxa"/>
          </w:tcPr>
          <w:p w14:paraId="28F8C110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回撤区间</w:t>
            </w:r>
          </w:p>
        </w:tc>
        <w:tc>
          <w:tcPr>
            <w:tcW w:w="1728" w:type="dxa"/>
          </w:tcPr>
          <w:p w14:paraId="6A135EA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仓位上限</w:t>
            </w:r>
          </w:p>
        </w:tc>
        <w:tc>
          <w:tcPr>
            <w:tcW w:w="1728" w:type="dxa"/>
          </w:tcPr>
          <w:p w14:paraId="0423E0D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风控措施</w:t>
            </w:r>
          </w:p>
        </w:tc>
        <w:tc>
          <w:tcPr>
            <w:tcW w:w="1728" w:type="dxa"/>
          </w:tcPr>
          <w:p w14:paraId="6F75C20A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b/>
                <w:sz w:val="20"/>
              </w:rPr>
              <w:t>恢复条件</w:t>
            </w:r>
          </w:p>
        </w:tc>
      </w:tr>
      <w:tr w:rsidR="0033310F" w:rsidRPr="0033310F" w14:paraId="30978DF6" w14:textId="77777777">
        <w:trPr>
          <w:jc w:val="center"/>
        </w:trPr>
        <w:tc>
          <w:tcPr>
            <w:tcW w:w="1728" w:type="dxa"/>
          </w:tcPr>
          <w:p w14:paraId="47C0DB13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正常</w:t>
            </w:r>
            <w:proofErr w:type="spellEnd"/>
          </w:p>
        </w:tc>
        <w:tc>
          <w:tcPr>
            <w:tcW w:w="1728" w:type="dxa"/>
          </w:tcPr>
          <w:p w14:paraId="4CA14DF4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0%-5%</w:t>
            </w:r>
          </w:p>
        </w:tc>
        <w:tc>
          <w:tcPr>
            <w:tcW w:w="1728" w:type="dxa"/>
          </w:tcPr>
          <w:p w14:paraId="6338729D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100%</w:t>
            </w:r>
          </w:p>
        </w:tc>
        <w:tc>
          <w:tcPr>
            <w:tcW w:w="1728" w:type="dxa"/>
          </w:tcPr>
          <w:p w14:paraId="0791DD3C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正常交易</w:t>
            </w:r>
          </w:p>
        </w:tc>
        <w:tc>
          <w:tcPr>
            <w:tcW w:w="1728" w:type="dxa"/>
          </w:tcPr>
          <w:p w14:paraId="01E1055E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N/A</w:t>
            </w:r>
          </w:p>
        </w:tc>
      </w:tr>
      <w:tr w:rsidR="0033310F" w:rsidRPr="0033310F" w14:paraId="1F92A50E" w14:textId="77777777">
        <w:trPr>
          <w:jc w:val="center"/>
        </w:trPr>
        <w:tc>
          <w:tcPr>
            <w:tcW w:w="1728" w:type="dxa"/>
          </w:tcPr>
          <w:p w14:paraId="412DF3A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预警</w:t>
            </w:r>
            <w:proofErr w:type="spellEnd"/>
          </w:p>
        </w:tc>
        <w:tc>
          <w:tcPr>
            <w:tcW w:w="1728" w:type="dxa"/>
          </w:tcPr>
          <w:p w14:paraId="1AE943FB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5%-8%</w:t>
            </w:r>
          </w:p>
        </w:tc>
        <w:tc>
          <w:tcPr>
            <w:tcW w:w="1728" w:type="dxa"/>
          </w:tcPr>
          <w:p w14:paraId="01E1C6C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75%</w:t>
            </w:r>
          </w:p>
        </w:tc>
        <w:tc>
          <w:tcPr>
            <w:tcW w:w="1728" w:type="dxa"/>
          </w:tcPr>
          <w:p w14:paraId="4D92BA65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暂停新开仓，仅允许减仓和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移仓</w:t>
            </w:r>
            <w:proofErr w:type="gramEnd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；降低高风险品种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仓位</w:t>
            </w:r>
            <w:proofErr w:type="gramEnd"/>
          </w:p>
        </w:tc>
        <w:tc>
          <w:tcPr>
            <w:tcW w:w="1728" w:type="dxa"/>
          </w:tcPr>
          <w:p w14:paraId="11059E32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净值回升至回撤4%以内</w:t>
            </w:r>
          </w:p>
        </w:tc>
      </w:tr>
      <w:tr w:rsidR="0033310F" w:rsidRPr="0033310F" w14:paraId="641532A6" w14:textId="77777777">
        <w:trPr>
          <w:jc w:val="center"/>
        </w:trPr>
        <w:tc>
          <w:tcPr>
            <w:tcW w:w="1728" w:type="dxa"/>
          </w:tcPr>
          <w:p w14:paraId="57D2C919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t>减仓</w:t>
            </w:r>
            <w:proofErr w:type="spellEnd"/>
          </w:p>
        </w:tc>
        <w:tc>
          <w:tcPr>
            <w:tcW w:w="1728" w:type="dxa"/>
          </w:tcPr>
          <w:p w14:paraId="4C79BB11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8%-12%</w:t>
            </w:r>
          </w:p>
        </w:tc>
        <w:tc>
          <w:tcPr>
            <w:tcW w:w="1728" w:type="dxa"/>
          </w:tcPr>
          <w:p w14:paraId="750A661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50%</w:t>
            </w:r>
          </w:p>
        </w:tc>
        <w:tc>
          <w:tcPr>
            <w:tcW w:w="1728" w:type="dxa"/>
          </w:tcPr>
          <w:p w14:paraId="2AFBAEA4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强制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减仓至</w:t>
            </w:r>
            <w:proofErr w:type="gramEnd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50%，暂停所有</w:t>
            </w: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新开仓；启动策略诊断</w:t>
            </w:r>
          </w:p>
        </w:tc>
        <w:tc>
          <w:tcPr>
            <w:tcW w:w="1728" w:type="dxa"/>
          </w:tcPr>
          <w:p w14:paraId="1467903D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净值连续3日回升且回撤降至</w:t>
            </w: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6%以内</w:t>
            </w:r>
          </w:p>
        </w:tc>
      </w:tr>
      <w:tr w:rsidR="0033310F" w:rsidRPr="0033310F" w14:paraId="4AB1ADDE" w14:textId="77777777">
        <w:trPr>
          <w:jc w:val="center"/>
        </w:trPr>
        <w:tc>
          <w:tcPr>
            <w:tcW w:w="1728" w:type="dxa"/>
          </w:tcPr>
          <w:p w14:paraId="1C44F6E1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33310F">
              <w:rPr>
                <w:rFonts w:ascii="微软雅黑" w:eastAsia="微软雅黑" w:hAnsi="微软雅黑"/>
                <w:sz w:val="20"/>
              </w:rPr>
              <w:lastRenderedPageBreak/>
              <w:t>紧急</w:t>
            </w:r>
            <w:proofErr w:type="spellEnd"/>
          </w:p>
        </w:tc>
        <w:tc>
          <w:tcPr>
            <w:tcW w:w="1728" w:type="dxa"/>
          </w:tcPr>
          <w:p w14:paraId="1CBFD0C9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12%-15%</w:t>
            </w:r>
          </w:p>
        </w:tc>
        <w:tc>
          <w:tcPr>
            <w:tcW w:w="1728" w:type="dxa"/>
          </w:tcPr>
          <w:p w14:paraId="05B96798" w14:textId="77777777" w:rsidR="000720D9" w:rsidRPr="0033310F" w:rsidRDefault="00000000">
            <w:pPr>
              <w:rPr>
                <w:rFonts w:ascii="微软雅黑" w:eastAsia="微软雅黑" w:hAnsi="微软雅黑" w:hint="eastAsia"/>
              </w:rPr>
            </w:pPr>
            <w:r w:rsidRPr="0033310F">
              <w:rPr>
                <w:rFonts w:ascii="微软雅黑" w:eastAsia="微软雅黑" w:hAnsi="微软雅黑"/>
                <w:sz w:val="20"/>
              </w:rPr>
              <w:t>25%</w:t>
            </w:r>
          </w:p>
        </w:tc>
        <w:tc>
          <w:tcPr>
            <w:tcW w:w="1728" w:type="dxa"/>
          </w:tcPr>
          <w:p w14:paraId="34C7EB04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强制</w:t>
            </w:r>
            <w:proofErr w:type="gramStart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减仓至</w:t>
            </w:r>
            <w:proofErr w:type="gramEnd"/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25%，仅保留核心策略头寸；启动应急委员会</w:t>
            </w:r>
          </w:p>
        </w:tc>
        <w:tc>
          <w:tcPr>
            <w:tcW w:w="1728" w:type="dxa"/>
          </w:tcPr>
          <w:p w14:paraId="748FC627" w14:textId="77777777" w:rsidR="000720D9" w:rsidRPr="0033310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33310F">
              <w:rPr>
                <w:rFonts w:ascii="微软雅黑" w:eastAsia="微软雅黑" w:hAnsi="微软雅黑"/>
                <w:sz w:val="20"/>
                <w:lang w:eastAsia="zh-CN"/>
              </w:rPr>
              <w:t>净值连续5日回升且回撤降至8%以内</w:t>
            </w:r>
          </w:p>
        </w:tc>
      </w:tr>
    </w:tbl>
    <w:p w14:paraId="1D68067A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3.2 回撤恢复机制</w:t>
      </w:r>
    </w:p>
    <w:p w14:paraId="3ACD2E38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当基金净值从回撤中恢复时，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恢复采用渐进式方式，避免过快加仓导致二次回撤。具体规则如下：从紧急等级恢复至正常等级，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每次增加不超过当前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的25%，且两次加仓之间至少间隔5个交易日。从减仓等级恢复至正常等级，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每次增加不超过当前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的33%，两次加仓之间至少间隔3个交易日。从预警等级恢复至正常等级，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可在1个交易日内恢复至100%。</w:t>
      </w:r>
    </w:p>
    <w:p w14:paraId="6C72E126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四、动态风险预算分配框架</w:t>
      </w:r>
    </w:p>
    <w:p w14:paraId="0E346199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4.1 风险预算分配原则</w:t>
      </w:r>
    </w:p>
    <w:p w14:paraId="0A90E88D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基金采用动态风险预算分配机制，将组合总风险预算在各子策略之间进行最优分配。风险预算分配遵循以下核心原则：第一，等风险贡献原则——在正常市场环境下，各子策略对组合总风险的边际贡献应大致相等；第二，动量调整原则——近期表现优异的策略获得更多风险预算，表现不佳的策略风险预算被削减；第三，相关性调整原则——策略间相关性升高时，降低整体风险预算以应对分散化不足的风险；第四，波动率调整原则——市场波动率升高时，自动降低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以维持目标波动率。</w:t>
      </w:r>
    </w:p>
    <w:p w14:paraId="74362503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4.2 风险预算计算方法</w:t>
      </w:r>
    </w:p>
    <w:p w14:paraId="5C36E258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风险预算的具体计算采用以下步骤：首先，计算各子策略的协方差矩阵（基于60日滚动窗口的日收益率）；其次，基于等风险贡献（ERC）方法计算初始权重；然后，根据各策略的夏普比率进行动量调整，调整系数为策略夏普比率与组合平均夏普比率的比值（截断在0.5至2.0之间）；最后，根据策略间平均相关性进行整体缩放，当平均相关性超过0.5时，整体风险预算乘以(1-平均相关性)的缩放因子。</w:t>
      </w:r>
    </w:p>
    <w:p w14:paraId="4096265B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lastRenderedPageBreak/>
        <w:t>4.3 策略权重约束</w:t>
      </w:r>
    </w:p>
    <w:p w14:paraId="5B4A4979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各子策略的最终风险预算权重必须满足以下约束：单一策略权重不低于5%且不超过40%；做多策略权重之和不超过70%；做空策略权重之和不超过50%；趋势跟踪类策略总权重不低于30%且不超过60%。权重调整频率为每月一次，调整幅度不超过当前权重的30%，以避免频繁</w:t>
      </w:r>
      <w:proofErr w:type="gramStart"/>
      <w:r w:rsidRPr="0033310F">
        <w:rPr>
          <w:rFonts w:ascii="微软雅黑" w:eastAsia="微软雅黑" w:hAnsi="微软雅黑"/>
          <w:lang w:eastAsia="zh-CN"/>
        </w:rPr>
        <w:t>调仓带来</w:t>
      </w:r>
      <w:proofErr w:type="gramEnd"/>
      <w:r w:rsidRPr="0033310F">
        <w:rPr>
          <w:rFonts w:ascii="微软雅黑" w:eastAsia="微软雅黑" w:hAnsi="微软雅黑"/>
          <w:lang w:eastAsia="zh-CN"/>
        </w:rPr>
        <w:t>的交易成本。</w:t>
      </w:r>
    </w:p>
    <w:p w14:paraId="4BF18DAF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五、跨境交易特殊风险管控</w:t>
      </w:r>
    </w:p>
    <w:p w14:paraId="0CD54D8A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5.1 汇率风险管理</w:t>
      </w:r>
    </w:p>
    <w:p w14:paraId="6E0C6E3D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境外投资涉及人民币与美元、欧元、日元等多币种之间的汇率转换，汇率波动可能对基金收益产生重大影响。基金采用以下汇率风险管理措施：第一，所有境外品种的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计算必须使用实时汇率折算为人民币等值；第二，境外投资组合的汇率敞口不得超过基金净值的40%（与境外持仓限额一致）；第三，当USDCNY汇率单日波动超过1%时，自动触发境外</w:t>
      </w:r>
      <w:proofErr w:type="gramStart"/>
      <w:r w:rsidRPr="0033310F">
        <w:rPr>
          <w:rFonts w:ascii="微软雅黑" w:eastAsia="微软雅黑" w:hAnsi="微软雅黑"/>
          <w:lang w:eastAsia="zh-CN"/>
        </w:rPr>
        <w:t>仓位</w:t>
      </w:r>
      <w:proofErr w:type="gramEnd"/>
      <w:r w:rsidRPr="0033310F">
        <w:rPr>
          <w:rFonts w:ascii="微软雅黑" w:eastAsia="微软雅黑" w:hAnsi="微软雅黑"/>
          <w:lang w:eastAsia="zh-CN"/>
        </w:rPr>
        <w:t>审查，评估是否需要调整境外持仓比例；第四，每月末对境外持仓进行汇率敏感性分析，计算汇率变动1%对基金净值的影响。</w:t>
      </w:r>
    </w:p>
    <w:p w14:paraId="6DEE0275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5.2 交易时段风险</w:t>
      </w:r>
    </w:p>
    <w:p w14:paraId="5EE13CB6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境内外市场交易时段存在显著差异，需要特别关注以下风险：第一，</w:t>
      </w:r>
      <w:proofErr w:type="gramStart"/>
      <w:r w:rsidRPr="0033310F">
        <w:rPr>
          <w:rFonts w:ascii="微软雅黑" w:eastAsia="微软雅黑" w:hAnsi="微软雅黑"/>
          <w:lang w:eastAsia="zh-CN"/>
        </w:rPr>
        <w:t>国内夜盘时段</w:t>
      </w:r>
      <w:proofErr w:type="gramEnd"/>
      <w:r w:rsidRPr="0033310F">
        <w:rPr>
          <w:rFonts w:ascii="微软雅黑" w:eastAsia="微软雅黑" w:hAnsi="微软雅黑"/>
          <w:lang w:eastAsia="zh-CN"/>
        </w:rPr>
        <w:t>（21:00-次日02:30）与欧美交易时段重叠，此时段国内品种流动性可能不足，</w:t>
      </w:r>
      <w:proofErr w:type="gramStart"/>
      <w:r w:rsidRPr="0033310F">
        <w:rPr>
          <w:rFonts w:ascii="微软雅黑" w:eastAsia="微软雅黑" w:hAnsi="微软雅黑"/>
          <w:lang w:eastAsia="zh-CN"/>
        </w:rPr>
        <w:t>滑点成本</w:t>
      </w:r>
      <w:proofErr w:type="gramEnd"/>
      <w:r w:rsidRPr="0033310F">
        <w:rPr>
          <w:rFonts w:ascii="微软雅黑" w:eastAsia="微软雅黑" w:hAnsi="微软雅黑"/>
          <w:lang w:eastAsia="zh-CN"/>
        </w:rPr>
        <w:t>较高；第二，境外品种在亚洲时段流动性较低，应避免在低流动性时段进行大额交易；第三，当境外市场发生重大事件导致价格剧烈波动时，国内市场可能尚未开盘，存在隔夜跳空风险。针对上述风险，基金规定：境外品种在亚洲时段的开仓量不超过该品种日均成交量的5%；</w:t>
      </w:r>
      <w:proofErr w:type="gramStart"/>
      <w:r w:rsidRPr="0033310F">
        <w:rPr>
          <w:rFonts w:ascii="微软雅黑" w:eastAsia="微软雅黑" w:hAnsi="微软雅黑"/>
          <w:lang w:eastAsia="zh-CN"/>
        </w:rPr>
        <w:t>国内夜盘时段</w:t>
      </w:r>
      <w:proofErr w:type="gramEnd"/>
      <w:r w:rsidRPr="0033310F">
        <w:rPr>
          <w:rFonts w:ascii="微软雅黑" w:eastAsia="微软雅黑" w:hAnsi="微软雅黑"/>
          <w:lang w:eastAsia="zh-CN"/>
        </w:rPr>
        <w:t>的交易需使用限价单，禁止市价单；对隔夜持仓设置额外的风险准备金，金额为隔夜持仓市值的0.5%。</w:t>
      </w:r>
    </w:p>
    <w:p w14:paraId="01E2F5DA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5.3 监管合</w:t>
      </w:r>
      <w:proofErr w:type="gramStart"/>
      <w:r w:rsidRPr="0033310F">
        <w:rPr>
          <w:rFonts w:ascii="微软雅黑" w:eastAsia="微软雅黑" w:hAnsi="微软雅黑"/>
          <w:color w:val="auto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color w:val="auto"/>
          <w:lang w:eastAsia="zh-CN"/>
        </w:rPr>
        <w:t>要求</w:t>
      </w:r>
    </w:p>
    <w:p w14:paraId="7AFE569A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跨境交易必须严格遵守以下监管要求：第一，境外投资需符合QDII额度限制，当前基金获批QDII额度为等值6亿元人民币；第二，境外期货交易必须通过合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的境外期货经纪商进行，经纪商需具备当地监管机构颁发的期货经纪牌照；第三，所有境外交易记录需保</w:t>
      </w:r>
      <w:r w:rsidRPr="0033310F">
        <w:rPr>
          <w:rFonts w:ascii="微软雅黑" w:eastAsia="微软雅黑" w:hAnsi="微软雅黑"/>
          <w:lang w:eastAsia="zh-CN"/>
        </w:rPr>
        <w:lastRenderedPageBreak/>
        <w:t>留至少5年，以备监管检查；第四，境外持仓需每日向基金托管人报告，确保持仓透明可查；第五，遵守各交易所的持仓限额和大户报告制度，避免因违规被交易所处罚。</w:t>
      </w:r>
    </w:p>
    <w:p w14:paraId="0A4D4AD0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六、压力测试要求</w:t>
      </w:r>
    </w:p>
    <w:p w14:paraId="523BB127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6.1 定期压力测试</w:t>
      </w:r>
    </w:p>
    <w:p w14:paraId="570809B8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基金每月进行一次定期压力测试，评估在极端市场情景下基金的潜在损失。压力测试结果需向投资决策委员会报告，若潜在损失超过基金净值的20%，需启动应急预案。</w:t>
      </w:r>
    </w:p>
    <w:p w14:paraId="6A69CEE7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6.2 压力测试情景</w:t>
      </w:r>
    </w:p>
    <w:p w14:paraId="783365CE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压力测试必须覆盖以下情景，每个情景需计算对基金净值的影响：</w:t>
      </w:r>
    </w:p>
    <w:p w14:paraId="66D593A2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情景1：2008年金融危机重演——全球商品价格下跌30%，波动率上升至正常水平的3倍，相关性趋近于1</w:t>
      </w:r>
    </w:p>
    <w:p w14:paraId="2A8D9B2C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情景2：2020年原油暴跌重演——原油价格单日下跌30%，相关品种连锁反应</w:t>
      </w:r>
    </w:p>
    <w:p w14:paraId="1586C15A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情景3：人民币单日贬值5%——境外持仓以人民币计值大幅升值，国内品种受冲击</w:t>
      </w:r>
    </w:p>
    <w:p w14:paraId="6DB44F6B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情景4：流动性枯竭——主要品种成交量下降80%，买卖价差扩大5倍</w:t>
      </w:r>
    </w:p>
    <w:p w14:paraId="39579EC7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情景5：黑天鹅事件——单一品种连续3日涨停/跌停，无法平仓</w:t>
      </w:r>
    </w:p>
    <w:p w14:paraId="71730923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情景6：策略集体失效——所有趋势跟踪策略同时出现20%回撤</w:t>
      </w:r>
    </w:p>
    <w:p w14:paraId="6532838A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情景7：利率冲击——美联储意外加息200bp，美元指数上涨10%</w:t>
      </w:r>
    </w:p>
    <w:p w14:paraId="5DED40D7" w14:textId="77777777" w:rsidR="000720D9" w:rsidRPr="0033310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情景8：地缘政治危机——中东冲突导致原油供应中断，价格翻倍</w:t>
      </w:r>
    </w:p>
    <w:p w14:paraId="71DD4DAC" w14:textId="77777777" w:rsidR="000720D9" w:rsidRPr="0033310F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七、合</w:t>
      </w:r>
      <w:proofErr w:type="gramStart"/>
      <w:r w:rsidRPr="0033310F">
        <w:rPr>
          <w:rFonts w:ascii="微软雅黑" w:eastAsia="微软雅黑" w:hAnsi="微软雅黑"/>
          <w:color w:val="auto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color w:val="auto"/>
          <w:lang w:eastAsia="zh-CN"/>
        </w:rPr>
        <w:t>与报告要求</w:t>
      </w:r>
    </w:p>
    <w:p w14:paraId="51F9A9F5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t>7.1 日常合</w:t>
      </w:r>
      <w:proofErr w:type="gramStart"/>
      <w:r w:rsidRPr="0033310F">
        <w:rPr>
          <w:rFonts w:ascii="微软雅黑" w:eastAsia="微软雅黑" w:hAnsi="微软雅黑"/>
          <w:color w:val="auto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color w:val="auto"/>
          <w:lang w:eastAsia="zh-CN"/>
        </w:rPr>
        <w:t>检查</w:t>
      </w:r>
    </w:p>
    <w:p w14:paraId="71F9FA30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基金合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团队需每日进行以下合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检查：持仓限额检查（确认所有品种和板块的持仓比例在限额内）、保证金充足性检查（确认账户保证金比例不低于交易所要求的1.2倍）、风险指标检查（确认</w:t>
      </w:r>
      <w:proofErr w:type="spellStart"/>
      <w:r w:rsidRPr="0033310F">
        <w:rPr>
          <w:rFonts w:ascii="微软雅黑" w:eastAsia="微软雅黑" w:hAnsi="微软雅黑"/>
          <w:lang w:eastAsia="zh-CN"/>
        </w:rPr>
        <w:t>VaR</w:t>
      </w:r>
      <w:proofErr w:type="spellEnd"/>
      <w:r w:rsidRPr="0033310F">
        <w:rPr>
          <w:rFonts w:ascii="微软雅黑" w:eastAsia="微软雅黑" w:hAnsi="微软雅黑"/>
          <w:lang w:eastAsia="zh-CN"/>
        </w:rPr>
        <w:t>、波动率、回撤等指标在限额内）、交易合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检查（确认无违规交易行为，如自成交、频繁撤单等）。任何合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违规必须</w:t>
      </w:r>
      <w:proofErr w:type="gramStart"/>
      <w:r w:rsidRPr="0033310F">
        <w:rPr>
          <w:rFonts w:ascii="微软雅黑" w:eastAsia="微软雅黑" w:hAnsi="微软雅黑"/>
          <w:lang w:eastAsia="zh-CN"/>
        </w:rPr>
        <w:t>当日报告</w:t>
      </w:r>
      <w:proofErr w:type="gramEnd"/>
      <w:r w:rsidRPr="0033310F">
        <w:rPr>
          <w:rFonts w:ascii="微软雅黑" w:eastAsia="微软雅黑" w:hAnsi="微软雅黑"/>
          <w:lang w:eastAsia="zh-CN"/>
        </w:rPr>
        <w:t>投资决策委员会，并在24小时内完成整改。</w:t>
      </w:r>
    </w:p>
    <w:p w14:paraId="1DFFE9A4" w14:textId="77777777" w:rsidR="000720D9" w:rsidRPr="0033310F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33310F">
        <w:rPr>
          <w:rFonts w:ascii="微软雅黑" w:eastAsia="微软雅黑" w:hAnsi="微软雅黑"/>
          <w:color w:val="auto"/>
          <w:lang w:eastAsia="zh-CN"/>
        </w:rPr>
        <w:lastRenderedPageBreak/>
        <w:t>7.2 定期报告</w:t>
      </w:r>
    </w:p>
    <w:p w14:paraId="7DB3091F" w14:textId="77777777" w:rsidR="000720D9" w:rsidRPr="0033310F" w:rsidRDefault="00000000">
      <w:pPr>
        <w:rPr>
          <w:rFonts w:ascii="微软雅黑" w:eastAsia="微软雅黑" w:hAnsi="微软雅黑" w:hint="eastAsia"/>
          <w:lang w:eastAsia="zh-CN"/>
        </w:rPr>
      </w:pPr>
      <w:r w:rsidRPr="0033310F">
        <w:rPr>
          <w:rFonts w:ascii="微软雅黑" w:eastAsia="微软雅黑" w:hAnsi="微软雅黑"/>
          <w:lang w:eastAsia="zh-CN"/>
        </w:rPr>
        <w:t>基金需定期编制以下报告：日报（持仓明细、盈亏汇总、风险指标）、周报（策略表现、风险预算执行情况、市场展望）、月报（详细业绩归因、压力测试结果、合</w:t>
      </w:r>
      <w:proofErr w:type="gramStart"/>
      <w:r w:rsidRPr="0033310F">
        <w:rPr>
          <w:rFonts w:ascii="微软雅黑" w:eastAsia="微软雅黑" w:hAnsi="微软雅黑"/>
          <w:lang w:eastAsia="zh-CN"/>
        </w:rPr>
        <w:t>规</w:t>
      </w:r>
      <w:proofErr w:type="gramEnd"/>
      <w:r w:rsidRPr="0033310F">
        <w:rPr>
          <w:rFonts w:ascii="微软雅黑" w:eastAsia="微软雅黑" w:hAnsi="微软雅黑"/>
          <w:lang w:eastAsia="zh-CN"/>
        </w:rPr>
        <w:t>检查总结）、季报（投资策略回顾与展望、风险管理体系评估、基金运作报告）。所有报告需在规定时间内完成，日报T+1上午10:00前，周报次周一前，月报次月5个工作日内，季报次季15个工作日内。</w:t>
      </w:r>
    </w:p>
    <w:sectPr w:rsidR="000720D9" w:rsidRPr="00333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331766">
    <w:abstractNumId w:val="8"/>
  </w:num>
  <w:num w:numId="2" w16cid:durableId="1793817197">
    <w:abstractNumId w:val="6"/>
  </w:num>
  <w:num w:numId="3" w16cid:durableId="2039427642">
    <w:abstractNumId w:val="5"/>
  </w:num>
  <w:num w:numId="4" w16cid:durableId="1577015139">
    <w:abstractNumId w:val="4"/>
  </w:num>
  <w:num w:numId="5" w16cid:durableId="1897353164">
    <w:abstractNumId w:val="7"/>
  </w:num>
  <w:num w:numId="6" w16cid:durableId="2026906286">
    <w:abstractNumId w:val="3"/>
  </w:num>
  <w:num w:numId="7" w16cid:durableId="298875644">
    <w:abstractNumId w:val="2"/>
  </w:num>
  <w:num w:numId="8" w16cid:durableId="1367947709">
    <w:abstractNumId w:val="1"/>
  </w:num>
  <w:num w:numId="9" w16cid:durableId="137450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D9"/>
    <w:rsid w:val="0015074B"/>
    <w:rsid w:val="0029639D"/>
    <w:rsid w:val="00326F90"/>
    <w:rsid w:val="0033310F"/>
    <w:rsid w:val="008364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47887"/>
  <w14:defaultImageDpi w14:val="300"/>
  <w15:docId w15:val="{81C82D9B-E37A-4719-B77E-9A6C5E27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1968</Words>
  <Characters>2146</Characters>
  <Application>Microsoft Office Word</Application>
  <DocSecurity>0</DocSecurity>
  <Lines>143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zsqh</cp:lastModifiedBy>
  <cp:revision>2</cp:revision>
  <dcterms:created xsi:type="dcterms:W3CDTF">2013-12-23T23:15:00Z</dcterms:created>
  <dcterms:modified xsi:type="dcterms:W3CDTF">2026-05-20T16:37:00Z</dcterms:modified>
  <cp:category/>
</cp:coreProperties>
</file>