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85B2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center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color="auto" w:fill="auto"/>
        </w:rPr>
        <w:t>Agent最终交付物说明</w:t>
      </w:r>
    </w:p>
    <w:p w14:paraId="3925B2D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  <w:t>一、概述</w:t>
      </w:r>
    </w:p>
    <w:p w14:paraId="6754A08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本任务要求提交一个完整的Python策略文件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portfolio_optimizer.py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，该文件需能够独立运行，读取输入数据，执行动态投资组合优化回测，并输出标准格式的结果文件。</w:t>
      </w:r>
    </w:p>
    <w:p w14:paraId="7F4FCB3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策略需支持两种运行模式：</w:t>
      </w:r>
    </w:p>
    <w:p w14:paraId="678822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  <w:t>训练模式：python portfolio_optimizer.py --train（训练期估计模型参数 + 验证期回测）</w:t>
      </w:r>
    </w:p>
    <w:p w14:paraId="324231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  <w:t>回测模式：python portfolio_optimizer.py --backtest（加载模型参数 + 测试期回测）</w:t>
      </w:r>
    </w:p>
    <w:p w14:paraId="46260CC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  <w:t>二、交付说明</w:t>
      </w:r>
    </w:p>
    <w:p w14:paraId="791AF67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  <w:t>2.1 交付文件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1"/>
        <w:gridCol w:w="4129"/>
      </w:tblGrid>
      <w:tr w14:paraId="37DFE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4DF4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文件名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57A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33D4D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FEFC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portfolio_optimizer.py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DEBF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主策略文件，必须以此命名</w:t>
            </w:r>
          </w:p>
        </w:tc>
      </w:tr>
      <w:tr w14:paraId="4D0D8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51C6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requirements.txt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84D3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依赖库清单</w:t>
            </w:r>
          </w:p>
        </w:tc>
      </w:tr>
    </w:tbl>
    <w:p w14:paraId="65ECD12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  <w:t>2.2 策略代码入口</w:t>
      </w:r>
    </w:p>
    <w:p w14:paraId="58EA1E0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策略文件必须包含以下入口：</w:t>
      </w:r>
    </w:p>
    <w:p w14:paraId="4EFEF9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color="auto" w:fill="auto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__name__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color="auto" w:fill="auto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color="auto" w:fill="auto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color="auto" w:fill="auto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</w:t>
      </w:r>
    </w:p>
    <w:p w14:paraId="66CB30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shd w:val="clear" w:color="auto" w:fill="auto"/>
        </w:rPr>
        <w:t># 执行完整回测流程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</w:t>
      </w:r>
    </w:p>
    <w:p w14:paraId="5D76EA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color="auto" w:fill="auto"/>
        </w:rPr>
        <w:t>pass</w:t>
      </w:r>
    </w:p>
    <w:p w14:paraId="04742F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color="auto" w:fill="auto"/>
        </w:rPr>
      </w:pPr>
    </w:p>
    <w:p w14:paraId="23B2DB1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  <w:t>三、输入文件读取规范</w:t>
      </w:r>
    </w:p>
    <w:p w14:paraId="1999A6D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策略文件必须自动读取当前目录下的以下文件（训练/验证期和评测期的数据不同，训练/验证期禁止读取评测期的数据），策略代码要支持读取评测期的数据，用于策略评分：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1201"/>
        <w:gridCol w:w="3141"/>
        <w:gridCol w:w="1631"/>
      </w:tblGrid>
      <w:tr w14:paraId="46AF5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1850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文件名</w:t>
            </w:r>
          </w:p>
        </w:tc>
        <w:tc>
          <w:tcPr>
            <w:tcW w:w="120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2CEF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是否必需</w:t>
            </w:r>
          </w:p>
        </w:tc>
        <w:tc>
          <w:tcPr>
            <w:tcW w:w="314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CAD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  <w:tc>
          <w:tcPr>
            <w:tcW w:w="163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276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使用阶段</w:t>
            </w:r>
          </w:p>
        </w:tc>
      </w:tr>
      <w:tr w14:paraId="6E72F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977B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etf_prices.csv</w:t>
            </w:r>
          </w:p>
        </w:tc>
        <w:tc>
          <w:tcPr>
            <w:tcW w:w="12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6CA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 必需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860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日频行情数据（训练期+验证期）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C7AE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仅训练期/验证期使用</w:t>
            </w:r>
          </w:p>
        </w:tc>
      </w:tr>
      <w:tr w14:paraId="3C4AF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87C7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etf_info.csv</w:t>
            </w:r>
          </w:p>
        </w:tc>
        <w:tc>
          <w:tcPr>
            <w:tcW w:w="12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C18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 必需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F79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ETF基本信息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3926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均可使用</w:t>
            </w:r>
          </w:p>
        </w:tc>
      </w:tr>
      <w:tr w14:paraId="59280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E710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macro_indicators.csv</w:t>
            </w:r>
          </w:p>
        </w:tc>
        <w:tc>
          <w:tcPr>
            <w:tcW w:w="12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BFD9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 必需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EFA8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宏观状态指标日频数据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D91D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仅训练期/验证期使用</w:t>
            </w:r>
          </w:p>
        </w:tc>
      </w:tr>
      <w:tr w14:paraId="7F904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B5F1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train_period.txt</w:t>
            </w:r>
          </w:p>
        </w:tc>
        <w:tc>
          <w:tcPr>
            <w:tcW w:w="12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AE3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 必需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974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训练期起止日期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05CB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仅训练期/验证期使用</w:t>
            </w:r>
          </w:p>
        </w:tc>
      </w:tr>
      <w:tr w14:paraId="57D30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4E25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valid_period.txt</w:t>
            </w:r>
          </w:p>
        </w:tc>
        <w:tc>
          <w:tcPr>
            <w:tcW w:w="12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65E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 必需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ED8D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验证期起止日期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EE5B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仅训练期/验证期使用</w:t>
            </w:r>
          </w:p>
        </w:tc>
      </w:tr>
      <w:tr w14:paraId="679EC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35ED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评测期行情数据文件</w:t>
            </w:r>
          </w:p>
        </w:tc>
        <w:tc>
          <w:tcPr>
            <w:tcW w:w="12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EEE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 必需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EE6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隐藏测试期行情数据（评测模式自动读取）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8DD3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仅评测期使用</w:t>
            </w:r>
          </w:p>
        </w:tc>
      </w:tr>
      <w:tr w14:paraId="28F41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CB03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评测期宏观指标文件</w:t>
            </w:r>
          </w:p>
        </w:tc>
        <w:tc>
          <w:tcPr>
            <w:tcW w:w="12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C2E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宋体" w:cs="Segoe UI"/>
                <w:sz w:val="21"/>
                <w:szCs w:val="21"/>
                <w:shd w:val="clear" w:color="auto" w:fill="auto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1"/>
                <w:szCs w:val="21"/>
                <w:shd w:val="clear" w:color="auto" w:fill="auto"/>
                <w:lang w:val="en-US" w:eastAsia="zh-CN"/>
              </w:rPr>
              <w:t>可选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E22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隐藏测试期宏观指标数据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71B7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仅评测期使用</w:t>
            </w:r>
          </w:p>
        </w:tc>
      </w:tr>
      <w:tr w14:paraId="19C63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2008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评测区间文件</w:t>
            </w:r>
          </w:p>
        </w:tc>
        <w:tc>
          <w:tcPr>
            <w:tcW w:w="12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F1B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 必需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7DA5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测试期起止日期（评测模式自动读取）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4809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仅评测期使用</w:t>
            </w:r>
          </w:p>
        </w:tc>
      </w:tr>
    </w:tbl>
    <w:p w14:paraId="0545F7B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</w:p>
    <w:p w14:paraId="4B14D9F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  <w:t>3.1 文件格式说明</w:t>
      </w:r>
    </w:p>
    <w:p w14:paraId="702C873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1. train_period.txt、valid_period.txt 和 评测区间文件：</w:t>
      </w:r>
    </w:p>
    <w:p w14:paraId="5C250A0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纯文本文件，仅包含一行。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格式：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开始日期,结束日期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示例：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2019-01-01,2023-12-31</w:t>
      </w:r>
    </w:p>
    <w:p w14:paraId="28DBCBF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2. etf_prices.csv：</w:t>
      </w:r>
    </w:p>
    <w:p w14:paraId="744E248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必需字段：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date, stock_code, open, high, low, close, volume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示例：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2024-01-02,510300.XSHG,3.850,3.880,3.840,3.860,50000000</w:t>
      </w:r>
    </w:p>
    <w:p w14:paraId="587FC6F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3. etf_info.csv：</w:t>
      </w:r>
    </w:p>
    <w:p w14:paraId="25232D9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必需字段：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stock_code, stock_name, asset_class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示例：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510300.XSHG,沪深300ETF,股票</w:t>
      </w:r>
    </w:p>
    <w:p w14:paraId="1C6EB2E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4. macro_indicators.csv：</w:t>
      </w:r>
    </w:p>
    <w:p w14:paraId="5038563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必需字段：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date, VIX, US10Y, Term_Spread, Credit_Spread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示例：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2024-01-02,13.20,3.95,-0.38,-3.15</w:t>
      </w:r>
    </w:p>
    <w:p w14:paraId="2626ECF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  <w:t>四、输出文件规范</w:t>
      </w:r>
    </w:p>
    <w:p w14:paraId="3B12B68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  <w:t>4.1 backtest_results.json 文件</w:t>
      </w:r>
    </w:p>
    <w:p w14:paraId="300C96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  <w:t>注意：daily_nav 必须已扣除所有交易成本和融券成本（含双向手续费和做空融券利息）。评分脚本将直接从 daily_nav 计算绩效指标，不再单独验证成本扣除的正确性。如果策略未正确扣除成本，净值双重验证时可能因与权重+价格独立重建的净值不一致而触发扣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  <w:t>分。</w:t>
      </w:r>
    </w:p>
    <w:p w14:paraId="6AF9EB02">
      <w:pPr>
        <w:rPr>
          <w:rFonts w:hint="default"/>
        </w:rPr>
      </w:pPr>
    </w:p>
    <w:p w14:paraId="5C4A4F9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策略文件运行后必须生成，JSON格式，内容示例如下：</w:t>
      </w:r>
    </w:p>
    <w:p w14:paraId="129A9D1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{</w:t>
      </w:r>
    </w:p>
    <w:p w14:paraId="118B9C1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"daily_nav": [</w:t>
      </w:r>
    </w:p>
    <w:p w14:paraId="37B24ED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{"date": "2024-01-02", "nav": 1.0},</w:t>
      </w:r>
    </w:p>
    <w:p w14:paraId="705EE27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{"date": "2024-01-03", "nav": 1.0012},</w:t>
      </w:r>
    </w:p>
    <w:p w14:paraId="72D2916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{"date": "2024-12-31", "nav": 1.0856}</w:t>
      </w:r>
    </w:p>
    <w:p w14:paraId="4AFA676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],</w:t>
      </w:r>
    </w:p>
    <w:p w14:paraId="7104468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"daily_weights": [</w:t>
      </w:r>
    </w:p>
    <w:p w14:paraId="26701F3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{</w:t>
      </w:r>
    </w:p>
    <w:p w14:paraId="6F7C46B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"date": "2024-01-02",</w:t>
      </w:r>
    </w:p>
    <w:p w14:paraId="4EEF700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"weights": {</w:t>
      </w:r>
    </w:p>
    <w:p w14:paraId="4EBF14B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"510300.XSHG": 0.15,</w:t>
      </w:r>
    </w:p>
    <w:p w14:paraId="1959147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"159935.XSHE": 0.10,</w:t>
      </w:r>
    </w:p>
    <w:p w14:paraId="2BFEB18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"159915.XSHE": 0.05,</w:t>
      </w:r>
    </w:p>
    <w:p w14:paraId="5FF57EF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"513660.XSHG": 0.05,</w:t>
      </w:r>
    </w:p>
    <w:p w14:paraId="444CC00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"513500.XSHG": 0.10,</w:t>
      </w:r>
    </w:p>
    <w:p w14:paraId="3BB00CB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"511010.XSHG": 0.20,</w:t>
      </w:r>
    </w:p>
    <w:p w14:paraId="55E816E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"511220.XSHG": 0.10,</w:t>
      </w:r>
    </w:p>
    <w:p w14:paraId="331E8D5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"518880.XSHG": 0.10,</w:t>
      </w:r>
    </w:p>
    <w:p w14:paraId="3665A70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"510410.XSHG": 0.05,</w:t>
      </w:r>
    </w:p>
    <w:p w14:paraId="3A8A474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"159001.XSHE": 0.10</w:t>
      </w:r>
    </w:p>
    <w:p w14:paraId="449B673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}</w:t>
      </w:r>
    </w:p>
    <w:p w14:paraId="5D18DA6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}</w:t>
      </w:r>
    </w:p>
    <w:p w14:paraId="4F55E49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],</w:t>
      </w:r>
    </w:p>
    <w:p w14:paraId="3B4F598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"trades": [</w:t>
      </w:r>
    </w:p>
    <w:p w14:paraId="1F835FE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{</w:t>
      </w:r>
    </w:p>
    <w:p w14:paraId="6618789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"open_date": "2024-02-21",</w:t>
      </w:r>
    </w:p>
    <w:p w14:paraId="5635526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"close_date": "2024-03-15",</w:t>
      </w:r>
    </w:p>
    <w:p w14:paraId="3750E72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"stock_code": "510300.XSHG",</w:t>
      </w:r>
    </w:p>
    <w:p w14:paraId="7C98234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"direction": "buy",</w:t>
      </w:r>
    </w:p>
    <w:p w14:paraId="212E5D0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"return": 0.0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  <w:lang w:val="en-US" w:eastAsia="zh-CN"/>
        </w:rPr>
        <w:t>012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,</w:t>
      </w:r>
    </w:p>
    <w:p w14:paraId="76D9DC6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"open_price": 3.85,</w:t>
      </w:r>
    </w:p>
    <w:p w14:paraId="4A63D10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"close_price": 3.94,</w:t>
      </w:r>
    </w:p>
    <w:p w14:paraId="70CC5D7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"qty": 10000</w:t>
      </w:r>
    </w:p>
    <w:p w14:paraId="2B794CC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}</w:t>
      </w:r>
    </w:p>
    <w:p w14:paraId="35F15B8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],</w:t>
      </w:r>
    </w:p>
    <w:p w14:paraId="1AE16C6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"metrics": {</w:t>
      </w:r>
    </w:p>
    <w:p w14:paraId="520FD8D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"sharpe_ratio": 0.95,</w:t>
      </w:r>
    </w:p>
    <w:p w14:paraId="3E62BEB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"max_drawdown": -0.12,</w:t>
      </w:r>
    </w:p>
    <w:p w14:paraId="6F00D9A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"calmar_ratio": 0.68,</w:t>
      </w:r>
    </w:p>
    <w:p w14:paraId="10D01A8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"profit_loss_ratio": 1.52,</w:t>
      </w:r>
    </w:p>
    <w:p w14:paraId="053CD35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"max_consecutive_losses": 3,</w:t>
      </w:r>
    </w:p>
    <w:p w14:paraId="5BD7E66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"annual_turnover": 1.45,</w:t>
      </w:r>
    </w:p>
    <w:p w14:paraId="0C1FC32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"var_break_rate": 0.052</w:t>
      </w:r>
    </w:p>
    <w:p w14:paraId="5B02DC4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},</w:t>
      </w:r>
    </w:p>
    <w:p w14:paraId="0E8C1DC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"risk_calibration": {</w:t>
      </w:r>
    </w:p>
    <w:p w14:paraId="7D274DC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"scale_factor_history": [</w:t>
      </w:r>
    </w:p>
    <w:p w14:paraId="0E508F7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"2024-01-02", "scale_factor": 1.0},</w:t>
      </w:r>
    </w:p>
    <w:p w14:paraId="45F54C2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"2024-01-03", "scale_factor": 1.0},</w:t>
      </w:r>
    </w:p>
    <w:p w14:paraId="2373EB6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"2024-12-31", "scale_factor": 1.15}</w:t>
      </w:r>
    </w:p>
    <w:p w14:paraId="5F10738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],</w:t>
      </w:r>
    </w:p>
    <w:p w14:paraId="0C96003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"var_history": [</w:t>
      </w:r>
    </w:p>
    <w:p w14:paraId="7F78695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"2024-01-02", "var_95": 0.015},</w:t>
      </w:r>
    </w:p>
    <w:p w14:paraId="2BAA30F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"2024-01-03", "var_95": 0.015},</w:t>
      </w:r>
    </w:p>
    <w:p w14:paraId="35C8304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"2024-12-31", "var_95": 0.022}</w:t>
      </w:r>
    </w:p>
    <w:p w14:paraId="02282D9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],</w:t>
      </w:r>
    </w:p>
    <w:p w14:paraId="08982BE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"var_break_events": [</w:t>
      </w:r>
    </w:p>
    <w:p w14:paraId="7ED899D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"2024-03-15", "actual_return": -0.018, "var_95": 0.015},</w:t>
      </w:r>
    </w:p>
    <w:p w14:paraId="29B8AD7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"2024-08-05", "actual_return": -0.025, "var_95": 0.020}</w:t>
      </w:r>
    </w:p>
    <w:p w14:paraId="0463005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],</w:t>
      </w:r>
    </w:p>
    <w:p w14:paraId="6559BEE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"rebalance_history": [</w:t>
      </w:r>
    </w:p>
    <w:p w14:paraId="04C6E43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"2024-01-22", "trigger": "scheduled"},</w:t>
      </w:r>
    </w:p>
    <w:p w14:paraId="3A4A8D0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"2024-02-12", "trigger": "risk_scale_change"},</w:t>
      </w:r>
    </w:p>
    <w:p w14:paraId="775DEAC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{"date": "2024-03-04", "trigger": "scheduled"}</w:t>
      </w:r>
    </w:p>
    <w:p w14:paraId="552422F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],</w:t>
      </w:r>
    </w:p>
    <w:p w14:paraId="45D00B2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"volatility_events": [</w:t>
      </w:r>
    </w:p>
    <w:p w14:paraId="3AACD0A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{</w:t>
      </w:r>
    </w:p>
    <w:p w14:paraId="623D151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"date": "2024-08-05",</w:t>
      </w:r>
    </w:p>
    <w:p w14:paraId="717157D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"type": "volatility_spike_detected",</w:t>
      </w:r>
    </w:p>
    <w:p w14:paraId="0196E31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"asset": "510300.XSHG",</w:t>
      </w:r>
    </w:p>
    <w:p w14:paraId="042A323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"vol_before": 0.18,</w:t>
      </w:r>
    </w:p>
    <w:p w14:paraId="214A7F4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"vol_after": 0.42,</w:t>
      </w:r>
    </w:p>
    <w:p w14:paraId="6EAC47F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"scale_factor_response": 1.45,</w:t>
      </w:r>
    </w:p>
    <w:p w14:paraId="0BED689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  "description": "检测到沪深300ETF波动率突变，风险缩放因子从1.0调高至1.45"</w:t>
      </w:r>
    </w:p>
    <w:p w14:paraId="0069095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  }</w:t>
      </w:r>
    </w:p>
    <w:p w14:paraId="0BB1600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  ]</w:t>
      </w:r>
    </w:p>
    <w:p w14:paraId="59488DC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 xml:space="preserve">  }</w:t>
      </w:r>
    </w:p>
    <w:p w14:paraId="00226F2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}</w:t>
      </w:r>
    </w:p>
    <w:p w14:paraId="662F41F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字段说明：</w:t>
      </w:r>
    </w:p>
    <w:p w14:paraId="634E780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顶层字段说明：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931"/>
        <w:gridCol w:w="742"/>
        <w:gridCol w:w="4385"/>
      </w:tblGrid>
      <w:tr w14:paraId="3908D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FA38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18E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568E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必需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47D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175E2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896D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daily_nav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089E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27C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6ABC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每日净值序列，按日期升序排列</w:t>
            </w:r>
          </w:p>
        </w:tc>
      </w:tr>
      <w:tr w14:paraId="20A55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AB11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daily_weights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453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ACC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3E0F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每日持仓权重，每个对象包含date和weights</w:t>
            </w:r>
          </w:p>
        </w:tc>
      </w:tr>
      <w:tr w14:paraId="16534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BE78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trades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391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7042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48EB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调仓交易记录列表</w:t>
            </w:r>
          </w:p>
        </w:tc>
      </w:tr>
      <w:tr w14:paraId="09CB3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D333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metrics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6C4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70A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A38D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绩效指标汇总</w:t>
            </w:r>
          </w:p>
        </w:tc>
      </w:tr>
      <w:tr w14:paraId="143E3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BD9E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risk_calibration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F893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F60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6458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风险校准模块运行记录</w:t>
            </w:r>
          </w:p>
        </w:tc>
      </w:tr>
    </w:tbl>
    <w:p w14:paraId="2687243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daily_nav 数组中每个对象的字段：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870"/>
        <w:gridCol w:w="3199"/>
        <w:gridCol w:w="1399"/>
      </w:tblGrid>
      <w:tr w14:paraId="3653D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00C9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CC75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C1B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41A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示例</w:t>
            </w:r>
          </w:p>
        </w:tc>
      </w:tr>
      <w:tr w14:paraId="4A4F9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701B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E81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3C4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交易日期，格式 YYYY-MM-DD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A243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"2024-01-02"</w:t>
            </w:r>
          </w:p>
        </w:tc>
      </w:tr>
      <w:tr w14:paraId="24A4A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AC18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nav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77D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DD84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当日净值，首日为 1.0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E884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1.0012</w:t>
            </w:r>
          </w:p>
        </w:tc>
      </w:tr>
    </w:tbl>
    <w:p w14:paraId="6B09BA5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daily_weights 数组中每个对象的字段：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931"/>
        <w:gridCol w:w="5713"/>
      </w:tblGrid>
      <w:tr w14:paraId="2DD3D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AC45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451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1DC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32C12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A6B5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DFD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1AEA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交易日期，格式 YYYY-MM-DD</w:t>
            </w:r>
          </w:p>
        </w:tc>
      </w:tr>
      <w:tr w14:paraId="2267A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10CB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weights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E83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728A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各ETF的持仓权重，key为ETF代码，value为权重（正数为多头，负数为空头）</w:t>
            </w:r>
          </w:p>
        </w:tc>
      </w:tr>
    </w:tbl>
    <w:p w14:paraId="4B24B89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trades 数组中每个对象的字段：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983"/>
        <w:gridCol w:w="4499"/>
        <w:gridCol w:w="1798"/>
      </w:tblGrid>
      <w:tr w14:paraId="0D686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F247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DF5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D3D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0B5F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示例</w:t>
            </w:r>
          </w:p>
        </w:tc>
      </w:tr>
      <w:tr w14:paraId="411A9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6E89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open_date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A8B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E1A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开仓日期，格式 YYYY-MM-DD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67EA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"2024-02-21"</w:t>
            </w:r>
          </w:p>
        </w:tc>
      </w:tr>
      <w:tr w14:paraId="47270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283B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close_date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F0E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D60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平仓日期，格式 YYYY-MM-DD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3676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"2024-03-15"</w:t>
            </w:r>
          </w:p>
        </w:tc>
      </w:tr>
      <w:tr w14:paraId="0BF04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FD15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stock_code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692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E93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ETF代码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6E0B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"510300.XSHG"</w:t>
            </w:r>
          </w:p>
        </w:tc>
      </w:tr>
      <w:tr w14:paraId="3D47C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1313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direction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6CC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B80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"buy"（买入/加仓）或 "sell"（卖出/减仓）或 "short"（做空）或 "cover"（平空）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310A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"buy"</w:t>
            </w:r>
          </w:p>
        </w:tc>
      </w:tr>
      <w:tr w14:paraId="688B7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649D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return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C1A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4D6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该笔调仓对组合净值的收益率贡献（已扣除成本）。非必需字段，评分脚本不依赖此字段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DA9A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0.0235 表示 +2.35%</w:t>
            </w:r>
          </w:p>
        </w:tc>
      </w:tr>
      <w:tr w14:paraId="01280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2A8A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open_price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D4A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E4B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开仓价格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D3C2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3.85</w:t>
            </w:r>
          </w:p>
        </w:tc>
      </w:tr>
      <w:tr w14:paraId="422D2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AB58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close_price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42E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F1E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平仓价格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9E03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3.94</w:t>
            </w:r>
          </w:p>
        </w:tc>
      </w:tr>
      <w:tr w14:paraId="2BD47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4137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qty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E5F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163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交易数量（股）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CEE6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10000</w:t>
            </w:r>
          </w:p>
        </w:tc>
      </w:tr>
    </w:tbl>
    <w:p w14:paraId="1CDB047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metrics 对象中的字段：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6"/>
        <w:gridCol w:w="983"/>
        <w:gridCol w:w="1491"/>
        <w:gridCol w:w="3636"/>
      </w:tblGrid>
      <w:tr w14:paraId="45EEB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356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2D98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98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4C8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149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21BD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  <w:tc>
          <w:tcPr>
            <w:tcW w:w="3636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BF1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计算方式</w:t>
            </w:r>
          </w:p>
        </w:tc>
      </w:tr>
      <w:tr w14:paraId="7BEBB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14CF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sharpe_ratio</w:t>
            </w:r>
          </w:p>
        </w:tc>
        <w:tc>
          <w:tcPr>
            <w:tcW w:w="98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D21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149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B27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年化夏普比率</w:t>
            </w:r>
          </w:p>
        </w:tc>
        <w:tc>
          <w:tcPr>
            <w:tcW w:w="363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A1D7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日均收益率 / 日收益率标准差 × √252（从 daily_nav 计算）</w:t>
            </w:r>
          </w:p>
        </w:tc>
      </w:tr>
      <w:tr w14:paraId="44DE9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448B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max_drawdown</w:t>
            </w:r>
          </w:p>
        </w:tc>
        <w:tc>
          <w:tcPr>
            <w:tcW w:w="98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B39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149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DAAF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最大回撤（负数）</w:t>
            </w:r>
          </w:p>
        </w:tc>
        <w:tc>
          <w:tcPr>
            <w:tcW w:w="363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188C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max(1 - 当日净值 / 历史最高净值) 取负值（从 daily_nav 计算）</w:t>
            </w:r>
          </w:p>
        </w:tc>
      </w:tr>
      <w:tr w14:paraId="0C0D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9E6C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calmar_ratio</w:t>
            </w:r>
          </w:p>
        </w:tc>
        <w:tc>
          <w:tcPr>
            <w:tcW w:w="98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4E7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149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024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卡玛比率</w:t>
            </w:r>
          </w:p>
        </w:tc>
        <w:tc>
          <w:tcPr>
            <w:tcW w:w="363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C750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年化收益率 / 最大回撤绝对值（从 daily_nav 计算）</w:t>
            </w:r>
          </w:p>
        </w:tc>
      </w:tr>
      <w:tr w14:paraId="6B48F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6A81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profit_loss_ratio</w:t>
            </w:r>
          </w:p>
        </w:tc>
        <w:tc>
          <w:tcPr>
            <w:tcW w:w="98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84A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149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F85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盈亏比</w:t>
            </w:r>
          </w:p>
        </w:tc>
        <w:tc>
          <w:tcPr>
            <w:tcW w:w="363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24EC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盈利日平均收益 / 亏损日平均亏损绝对值（从 daily_nav 日收益计算）</w:t>
            </w:r>
          </w:p>
        </w:tc>
      </w:tr>
      <w:tr w14:paraId="7CD9E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890A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max_consecutive_losses</w:t>
            </w:r>
          </w:p>
        </w:tc>
        <w:tc>
          <w:tcPr>
            <w:tcW w:w="98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080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Integer</w:t>
            </w:r>
          </w:p>
        </w:tc>
        <w:tc>
          <w:tcPr>
            <w:tcW w:w="149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3DB9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最大连续亏损次数</w:t>
            </w:r>
          </w:p>
        </w:tc>
        <w:tc>
          <w:tcPr>
            <w:tcW w:w="363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B7E6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 xml:space="preserve"> 从 daily_nav 日收益率计算连续负收益天数</w:t>
            </w:r>
          </w:p>
        </w:tc>
      </w:tr>
      <w:tr w14:paraId="15297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8EAA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annual_turnover</w:t>
            </w:r>
          </w:p>
        </w:tc>
        <w:tc>
          <w:tcPr>
            <w:tcW w:w="98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6DB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149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F25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年化单边换手率</w:t>
            </w:r>
          </w:p>
        </w:tc>
        <w:tc>
          <w:tcPr>
            <w:tcW w:w="363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4F9B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 xml:space="preserve"> 从 daily_weights 计算权重变化累计 / 2 / 年数</w:t>
            </w:r>
          </w:p>
        </w:tc>
      </w:tr>
      <w:tr w14:paraId="20100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1D82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var_break_rate</w:t>
            </w:r>
          </w:p>
        </w:tc>
        <w:tc>
          <w:tcPr>
            <w:tcW w:w="98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126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149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573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VaR突破率</w:t>
            </w:r>
          </w:p>
        </w:tc>
        <w:tc>
          <w:tcPr>
            <w:tcW w:w="363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037F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实际损失超过VaR的天数 / 总交易日数（从 var_history 和 daily_nav 计算）</w:t>
            </w:r>
          </w:p>
        </w:tc>
      </w:tr>
    </w:tbl>
    <w:p w14:paraId="01EBB82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risk_calibration 对象中的字段：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810"/>
        <w:gridCol w:w="742"/>
        <w:gridCol w:w="2470"/>
      </w:tblGrid>
      <w:tr w14:paraId="66FFD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92B9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3C79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6109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必需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CBC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0C37D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5063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scale_factor_history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7F6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FA0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E54B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每日风险缩放因子序列</w:t>
            </w:r>
          </w:p>
        </w:tc>
      </w:tr>
      <w:tr w14:paraId="2512E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23DF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var_history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9CD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C8F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38C7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每日VaR预测值序列</w:t>
            </w:r>
          </w:p>
        </w:tc>
      </w:tr>
      <w:tr w14:paraId="464F8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07A8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var_break_events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54E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29D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8E83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VaR突破事件记录</w:t>
            </w:r>
          </w:p>
        </w:tc>
      </w:tr>
      <w:tr w14:paraId="2D26C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552F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rebalance_history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824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C9B8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47B8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再平衡历史记录</w:t>
            </w:r>
          </w:p>
        </w:tc>
      </w:tr>
      <w:tr w14:paraId="70BD9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9358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volatility_events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23B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8694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F14C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波动率突变事件检测记录</w:t>
            </w:r>
          </w:p>
        </w:tc>
      </w:tr>
    </w:tbl>
    <w:p w14:paraId="20E369E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scale_factor_history 数组中每个对象的字段：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9"/>
        <w:gridCol w:w="1271"/>
        <w:gridCol w:w="4440"/>
      </w:tblGrid>
      <w:tr w14:paraId="4E236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70E7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2E4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A3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53CD6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F56E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DBF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3B93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交易日期，格式 YYYY-MM-DD</w:t>
            </w:r>
          </w:p>
        </w:tc>
      </w:tr>
      <w:tr w14:paraId="03F5C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DAF4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scale_factor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340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AB8C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当日风险缩放因子（0.5-2.0）</w:t>
            </w:r>
          </w:p>
        </w:tc>
      </w:tr>
    </w:tbl>
    <w:p w14:paraId="2B06656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var_history 数组中每个对象的字段：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3"/>
        <w:gridCol w:w="1051"/>
        <w:gridCol w:w="5556"/>
      </w:tblGrid>
      <w:tr w14:paraId="63C92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3F00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5DA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6ECC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0C2C7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FFB0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2D0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748C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交易日期，格式 YYYY-MM-DD</w:t>
            </w:r>
          </w:p>
        </w:tc>
      </w:tr>
      <w:tr w14:paraId="6946A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993B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var_95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B03B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07BB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95%置信水平下的VaR预测值（占净资产比例）</w:t>
            </w:r>
          </w:p>
        </w:tc>
      </w:tr>
    </w:tbl>
    <w:p w14:paraId="6C66E39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var_break_events 数组中每个对象的字段：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5"/>
        <w:gridCol w:w="1241"/>
        <w:gridCol w:w="4334"/>
      </w:tblGrid>
      <w:tr w14:paraId="0AB0B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C803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DF38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AAF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706C3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E855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993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D9F9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突破日期，格式 YYYY-MM-DD</w:t>
            </w:r>
          </w:p>
        </w:tc>
      </w:tr>
      <w:tr w14:paraId="4B102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A33D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actual_return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1B0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DC80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当日实际收益率</w:t>
            </w:r>
          </w:p>
        </w:tc>
      </w:tr>
      <w:tr w14:paraId="42ADE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6627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var_95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BC7B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1053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当日VaR预测值</w:t>
            </w:r>
          </w:p>
        </w:tc>
      </w:tr>
    </w:tbl>
    <w:p w14:paraId="58BD20F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rebalance_history 数组中每个对象的字段：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870"/>
        <w:gridCol w:w="5864"/>
      </w:tblGrid>
      <w:tr w14:paraId="40EBF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D641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41E1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D38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3C1D4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52FD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80A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9ABC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再平衡日期，格式 YYYY-MM-DD</w:t>
            </w:r>
          </w:p>
        </w:tc>
      </w:tr>
      <w:tr w14:paraId="05D2E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3BA7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trigger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BC6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E523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触发条件："scheduled"（定期再平衡）、"risk_scale_change"（风险缩放因子变化超阈值）</w:t>
            </w:r>
          </w:p>
        </w:tc>
      </w:tr>
    </w:tbl>
    <w:p w14:paraId="13DBE8F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volatility_events 数组中每个对象的字段：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3"/>
        <w:gridCol w:w="939"/>
        <w:gridCol w:w="4248"/>
      </w:tblGrid>
      <w:tr w14:paraId="062D1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4937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8EC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B711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0B213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B022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2A94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C7F6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事件检测日期</w:t>
            </w:r>
          </w:p>
        </w:tc>
      </w:tr>
      <w:tr w14:paraId="4E3EA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0A6E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4D3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A56B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事件类型，如 "volatility_spike_detected"</w:t>
            </w:r>
          </w:p>
        </w:tc>
      </w:tr>
      <w:tr w14:paraId="5CA51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65D6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asset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84A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CE9A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触发事件的ETF代码</w:t>
            </w:r>
          </w:p>
        </w:tc>
      </w:tr>
      <w:tr w14:paraId="39283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CA72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vol_before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FBD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DDAC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事件前波动率水平</w:t>
            </w:r>
          </w:p>
        </w:tc>
      </w:tr>
      <w:tr w14:paraId="4214A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AAD8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vol_after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C46E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67FD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事件后波动率水平</w:t>
            </w:r>
          </w:p>
        </w:tc>
      </w:tr>
      <w:tr w14:paraId="2180F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7C84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scale_factor_response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D86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015C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事件后风险缩放因子的响应值</w:t>
            </w:r>
          </w:p>
        </w:tc>
      </w:tr>
      <w:tr w14:paraId="44501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EB83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4CB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DA16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事件描述</w:t>
            </w:r>
          </w:p>
        </w:tc>
      </w:tr>
    </w:tbl>
    <w:p w14:paraId="1F70033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</w:p>
    <w:p w14:paraId="76CFF72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  <w:lang w:val="en-US" w:eastAsia="zh-CN"/>
        </w:rPr>
        <w:t>五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color="auto" w:fill="auto"/>
        </w:rPr>
        <w:t>、常见问题</w:t>
      </w:r>
    </w:p>
    <w:p w14:paraId="2BBE37D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Q1：回测期内某只ETF数据缺失怎么办？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A：策略应处理缺失值。建议前向填充或跳过该日交易。</w:t>
      </w:r>
    </w:p>
    <w:p w14:paraId="215AD3F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Q2：协方差矩阵估计计算量过大怎么办？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A：建议使用EWMA或收缩估计等高效方法，或使用numpy向量化运算加速。</w:t>
      </w:r>
    </w:p>
    <w:p w14:paraId="52BB730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Q3：如何确保不使用未来数据？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A：在回测循环中，每日的信号生成只能使用截至当日的价格和宏观数据。可使用滚动窗口或状态变量记录历史信息。</w:t>
      </w:r>
    </w:p>
    <w:p w14:paraId="7F21A61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Q4：评测时如何运行策略？</w:t>
        <w:br/>
        <w:t>A：评测时执行命令为：python portfolio_optimizer.py --backtest</w:t>
        <w:br/>
        <w:t>策略应读取 评测期行情数据文件、etf_info.csv、评测期宏观指标文件 和 评测区间文件，自动完成回测。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r>
    </w:p>
    <w:p w14:paraId="2DF1BF6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Q5：评测时评分脚本会检查哪些输出字段？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A：评分脚本会读取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backtest_results.json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 中的以下字段：</w:t>
      </w:r>
    </w:p>
    <w:p w14:paraId="2CBAEB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daily_nav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：每日净值序列</w:t>
      </w:r>
    </w:p>
    <w:p w14:paraId="57403D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daily_weights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：每日持仓权重</w:t>
      </w:r>
    </w:p>
    <w:p w14:paraId="3AC3CD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  <w:t>trades：交易记录列表（需包含 open_date、close_date、stock_code、direction、open_price、close_price、qty 字段。return为非必需字段）</w:t>
      </w:r>
    </w:p>
    <w:p w14:paraId="453A5B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metrics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：绩效指标汇总</w:t>
      </w:r>
    </w:p>
    <w:p w14:paraId="0B336E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risk_calibration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：风险校准记录（含 scale_factor_history、var_history、var_break_events、rebalance_history、volatility_events）</w:t>
      </w:r>
    </w:p>
    <w:p w14:paraId="4C5E95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缺失字段将导致对应验证项无法完成，可能影响评分。</w:t>
      </w:r>
    </w:p>
    <w:p w14:paraId="597ABF3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Q6：宏观指标如何使用？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  <w:t>A：宏观指标的应用方式完全开放。Agent可选择部分或全部指标，可设计线性/非线性映射函数将宏观信息映射为风险缩放因子的调整信号。不使用宏观指标的策略也能参与评分，但合理融入宏观信息的策略有望在极端行情下表现更稳健。</w:t>
      </w:r>
    </w:p>
    <w:p w14:paraId="6F50633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color="auto" w:fill="auto"/>
        </w:rPr>
      </w:pPr>
    </w:p>
    <w:p w14:paraId="3597F5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  <w:t>Q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  <w:t>7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  <w:t>：交易成本和融券成本如何验证？</w:t>
      </w:r>
    </w:p>
    <w:p w14:paraId="721278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color="auto" w:fill="auto"/>
          <w:lang w:val="en-US" w:eastAsia="zh-CN" w:bidi="ar-SA"/>
        </w:rPr>
        <w:t>A：评分脚本在净值独立重建时，会根据每日持仓权重变化计算换手率，并结合双向手续费（0.05%×2）和融券利率（年化4%）独立扣除交易成本和融券成本，得到带成本的重建净值。如果策略自报的daily_nav与该带成本重建净值不一致，触发扣分。诚实策略即使因正确扣费而导致净值略低于毛收益净值，只要与带成本重建净值一致，仍能通过验证。</w:t>
      </w:r>
    </w:p>
    <w:p w14:paraId="48739743">
      <w:pPr>
        <w:rPr>
          <w:sz w:val="21"/>
          <w:szCs w:val="21"/>
          <w:shd w:val="clear" w:color="auto" w:fill="auto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54414"/>
    <w:rsid w:val="1DAC1F2B"/>
    <w:rsid w:val="209C3CA3"/>
    <w:rsid w:val="2ECD6F99"/>
    <w:rsid w:val="33E42E51"/>
    <w:rsid w:val="6F6C0408"/>
    <w:rsid w:val="7A9F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1147</Words>
  <Characters>3337</Characters>
  <Lines>0</Lines>
  <Paragraphs>0</Paragraphs>
  <TotalTime>65</TotalTime>
  <ScaleCrop>false</ScaleCrop>
  <LinksUpToDate>false</LinksUpToDate>
  <CharactersWithSpaces>3884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2026-05-04T15:37:00Z</dcterms:created>
  <dc:creator>wilson</dc:creator>
  <cp:lastModifiedBy>Wilson</cp:lastModifiedBy>
  <dcterms:modified xsi:type="dcterms:W3CDTF">2026-05-09T17:43:52Z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eyJoZGlkIjoiMDQwYjgxY2RhZWM3ZWMzMDkyZjgzZjU0NzdjZmEzODQiLCJ1c2VySWQiOiI0Mjc1NzkyNTkifQ==</vt:lpwstr>
  </property>
  <property fmtid="{D5CDD505-2E9C-101B-9397-08002B2CF9AE}" pid="4" name="ICV">
    <vt:lpwstr>56D979E943704AFFB6E013FB77431347_12</vt:lpwstr>
  </property>
</Properties>
</file>