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25FD" w14:textId="77777777" w:rsidR="006F7A66" w:rsidRPr="00727791" w:rsidRDefault="00000000">
      <w:pPr>
        <w:pStyle w:val="aa"/>
        <w:jc w:val="center"/>
        <w:rPr>
          <w:rFonts w:ascii="微软雅黑" w:eastAsia="微软雅黑" w:hAnsi="微软雅黑"/>
          <w:b/>
          <w:bCs/>
          <w:color w:val="auto"/>
          <w:lang w:eastAsia="zh-CN"/>
        </w:rPr>
      </w:pPr>
      <w:r w:rsidRPr="00727791">
        <w:rPr>
          <w:rFonts w:ascii="微软雅黑" w:eastAsia="微软雅黑" w:hAnsi="微软雅黑"/>
          <w:b/>
          <w:bCs/>
          <w:color w:val="auto"/>
          <w:lang w:eastAsia="zh-CN"/>
        </w:rPr>
        <w:t>明德CTA基金——内部策略研究备忘录</w:t>
      </w:r>
    </w:p>
    <w:p w14:paraId="574E15CD" w14:textId="1C274631" w:rsidR="006F7A66" w:rsidRPr="00727791" w:rsidRDefault="00000000">
      <w:pPr>
        <w:jc w:val="center"/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sz w:val="20"/>
          <w:lang w:eastAsia="zh-CN"/>
        </w:rPr>
        <w:t xml:space="preserve">编制：量化研究部 | 日期：2024年9月-2025年2月 </w:t>
      </w:r>
    </w:p>
    <w:p w14:paraId="69A750D5" w14:textId="77777777" w:rsidR="006F7A66" w:rsidRPr="00727791" w:rsidRDefault="006F7A66">
      <w:pPr>
        <w:rPr>
          <w:rFonts w:ascii="微软雅黑" w:eastAsia="微软雅黑" w:hAnsi="微软雅黑" w:hint="eastAsia"/>
          <w:lang w:eastAsia="zh-CN"/>
        </w:rPr>
      </w:pPr>
    </w:p>
    <w:p w14:paraId="52D4E2C7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备忘录 #1：时间序列动量策略参数优化研究</w:t>
      </w:r>
    </w:p>
    <w:p w14:paraId="4C0CDF9B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</w:rPr>
      </w:pPr>
      <w:r w:rsidRPr="00727791">
        <w:rPr>
          <w:rFonts w:ascii="微软雅黑" w:eastAsia="微软雅黑" w:hAnsi="微软雅黑"/>
          <w:color w:val="auto"/>
        </w:rPr>
        <w:t xml:space="preserve">1.1 </w:t>
      </w:r>
      <w:proofErr w:type="spellStart"/>
      <w:r w:rsidRPr="00727791">
        <w:rPr>
          <w:rFonts w:ascii="微软雅黑" w:eastAsia="微软雅黑" w:hAnsi="微软雅黑"/>
          <w:color w:val="auto"/>
        </w:rPr>
        <w:t>研究背景</w:t>
      </w:r>
      <w:proofErr w:type="spellEnd"/>
    </w:p>
    <w:p w14:paraId="24EB2C0E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</w:rPr>
        <w:t>时间序列动量（Time-Series Momentum, TSMOM）是CTA策略中最经典且最广泛使用的策略之一。其核心逻辑是：如果某品种过去N</w:t>
      </w:r>
      <w:proofErr w:type="spellStart"/>
      <w:r w:rsidRPr="00727791">
        <w:rPr>
          <w:rFonts w:ascii="微软雅黑" w:eastAsia="微软雅黑" w:hAnsi="微软雅黑"/>
        </w:rPr>
        <w:t>个交易日的收益率为正，则做多；为负，则做空</w:t>
      </w:r>
      <w:proofErr w:type="spellEnd"/>
      <w:r w:rsidRPr="00727791">
        <w:rPr>
          <w:rFonts w:ascii="微软雅黑" w:eastAsia="微软雅黑" w:hAnsi="微软雅黑"/>
        </w:rPr>
        <w:t>。</w:t>
      </w:r>
      <w:r w:rsidRPr="00727791">
        <w:rPr>
          <w:rFonts w:ascii="微软雅黑" w:eastAsia="微软雅黑" w:hAnsi="微软雅黑"/>
          <w:lang w:eastAsia="zh-CN"/>
        </w:rPr>
        <w:t>尽管逻辑简单，但回看窗口的选择、信号生成方式、仓位计算方法等细节对策略表现有重大影响。本备忘录记录了我们对TSMOM策略参数优化的最新研究成果。</w:t>
      </w:r>
    </w:p>
    <w:p w14:paraId="6D05DA64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1.2 信号生成方法</w:t>
      </w:r>
    </w:p>
    <w:p w14:paraId="14982F35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我们测试了三种信号生成方法：第一种是简单收益率信号——直接使用过去N日累计收益率的方向作为信号，正为做多，负为做空，零为空仓；第二种是指数加权信号——使用指数移动平均（EMA）计算趋势强度，信号值为EMA短期与EMA长期的差值除以长期EMA的绝对值，该值在-1到1之间连续变化；第三种是突破信号——基于</w:t>
      </w:r>
      <w:proofErr w:type="spellStart"/>
      <w:r w:rsidRPr="00727791">
        <w:rPr>
          <w:rFonts w:ascii="微软雅黑" w:eastAsia="微软雅黑" w:hAnsi="微软雅黑"/>
          <w:lang w:eastAsia="zh-CN"/>
        </w:rPr>
        <w:t>Donchian</w:t>
      </w:r>
      <w:proofErr w:type="spellEnd"/>
      <w:r w:rsidRPr="00727791">
        <w:rPr>
          <w:rFonts w:ascii="微软雅黑" w:eastAsia="微软雅黑" w:hAnsi="微软雅黑"/>
          <w:lang w:eastAsia="zh-CN"/>
        </w:rPr>
        <w:t>通道（N日</w:t>
      </w:r>
      <w:proofErr w:type="gramStart"/>
      <w:r w:rsidRPr="00727791">
        <w:rPr>
          <w:rFonts w:ascii="微软雅黑" w:eastAsia="微软雅黑" w:hAnsi="微软雅黑"/>
          <w:lang w:eastAsia="zh-CN"/>
        </w:rPr>
        <w:t>最</w:t>
      </w:r>
      <w:proofErr w:type="gramEnd"/>
      <w:r w:rsidRPr="00727791">
        <w:rPr>
          <w:rFonts w:ascii="微软雅黑" w:eastAsia="微软雅黑" w:hAnsi="微软雅黑"/>
          <w:lang w:eastAsia="zh-CN"/>
        </w:rPr>
        <w:t>高价和最低价构成的通道），价格突破通道上轨做多，突破下轨做空，在通道内则维持前一日信号。</w:t>
      </w:r>
    </w:p>
    <w:p w14:paraId="2D57C7EA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1.3 回看窗口测试结果</w:t>
      </w:r>
    </w:p>
    <w:p w14:paraId="1B9D36AC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我们在18个国内品种和12个境外品种上测试了5日、10日、20日、40日、60日、120日、250日共7个回看窗口的表现。测试区间为2020年1月至2024年12月，使用日线数据，交易成本按合约规格表中的实际费率计算。主要发现如下：短期窗口（5日、10日）在农产品和化工品种上表现较好，但换手率过高，交易成本侵蚀严重，净夏普比率普遍低于0.5；中期窗口（20日、40日、60日）在有色金属和黑色系品种上表现最优，</w:t>
      </w:r>
      <w:r w:rsidRPr="00727791">
        <w:rPr>
          <w:rFonts w:ascii="微软雅黑" w:eastAsia="微软雅黑" w:hAnsi="微软雅黑"/>
          <w:lang w:eastAsia="zh-CN"/>
        </w:rPr>
        <w:lastRenderedPageBreak/>
        <w:t>净夏普比率在0.6-1.2之间，是策略的核心盈利区间；长期窗口（120日、250日）在贵金属和能源品种上表现较好，但信号滞后严重，在趋势反转时回撤较大。</w:t>
      </w:r>
    </w:p>
    <w:p w14:paraId="79473614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1.4 推荐参数配置</w:t>
      </w:r>
    </w:p>
    <w:p w14:paraId="3BF2960D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基于测试结果，我们推荐以下参数配置：对于有色金属和黑色系品种，使用40日回看窗口配合指数加权信号，EMA短周期为20日，长周期为60日；对于农产品和化工品种，使用20日回看窗口配合简单收益率信号；对于贵金属和能源品种，使用60日回看窗口配合突破信号，通道宽度为40日；对于境外品种，统一使用40日回看窗口配合指数加权信号。各品种的信号强度阈值设为0.02（即信号绝对值小于0.02时不开仓），以过滤噪声信号。</w:t>
      </w:r>
    </w:p>
    <w:p w14:paraId="64734311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备忘录 #2：Carry/Basis策略实现方案</w:t>
      </w:r>
    </w:p>
    <w:p w14:paraId="34E0D4EB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2.1 策略逻辑</w:t>
      </w:r>
    </w:p>
    <w:p w14:paraId="30550ADF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Carry策略（又称展期收益策略）是CTA策略中仅次于趋势跟踪的第二大策略类别。其核心逻辑是：在期货市场中，近月合约与远月合约之间的价差（</w:t>
      </w:r>
      <w:proofErr w:type="gramStart"/>
      <w:r w:rsidRPr="00727791">
        <w:rPr>
          <w:rFonts w:ascii="微软雅黑" w:eastAsia="微软雅黑" w:hAnsi="微软雅黑"/>
          <w:lang w:eastAsia="zh-CN"/>
        </w:rPr>
        <w:t>即基差</w:t>
      </w:r>
      <w:proofErr w:type="gramEnd"/>
      <w:r w:rsidRPr="00727791">
        <w:rPr>
          <w:rFonts w:ascii="微软雅黑" w:eastAsia="微软雅黑" w:hAnsi="微软雅黑"/>
          <w:lang w:eastAsia="zh-CN"/>
        </w:rPr>
        <w:t>或展期收益）反映了对未来供需的预期。当市场处于contango结构（远</w:t>
      </w:r>
      <w:proofErr w:type="gramStart"/>
      <w:r w:rsidRPr="00727791">
        <w:rPr>
          <w:rFonts w:ascii="微软雅黑" w:eastAsia="微软雅黑" w:hAnsi="微软雅黑"/>
          <w:lang w:eastAsia="zh-CN"/>
        </w:rPr>
        <w:t>月价格</w:t>
      </w:r>
      <w:proofErr w:type="gramEnd"/>
      <w:r w:rsidRPr="00727791">
        <w:rPr>
          <w:rFonts w:ascii="微软雅黑" w:eastAsia="微软雅黑" w:hAnsi="微软雅黑"/>
          <w:lang w:eastAsia="zh-CN"/>
        </w:rPr>
        <w:t>高于近月）时，做空远月、做多近月可以获取展期收益；当市场处于backwardation结构（近月价格高于远月）时，做多远月、做空近月同样可以获取展期收益。</w:t>
      </w:r>
    </w:p>
    <w:p w14:paraId="498EDC23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2.2 Carry因子构建</w:t>
      </w:r>
    </w:p>
    <w:p w14:paraId="089FFD5D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我们使用以下方法构建Carry因子：首先，计算每个品种</w:t>
      </w:r>
      <w:proofErr w:type="gramStart"/>
      <w:r w:rsidRPr="00727791">
        <w:rPr>
          <w:rFonts w:ascii="微软雅黑" w:eastAsia="微软雅黑" w:hAnsi="微软雅黑"/>
          <w:lang w:eastAsia="zh-CN"/>
        </w:rPr>
        <w:t>的年化展期</w:t>
      </w:r>
      <w:proofErr w:type="gramEnd"/>
      <w:r w:rsidRPr="00727791">
        <w:rPr>
          <w:rFonts w:ascii="微软雅黑" w:eastAsia="微软雅黑" w:hAnsi="微软雅黑"/>
          <w:lang w:eastAsia="zh-CN"/>
        </w:rPr>
        <w:t xml:space="preserve">收益率，公式为Carry = (近月合约价格 - 次月合约价格) / 次月合约价格 × (12 / </w:t>
      </w:r>
      <w:proofErr w:type="gramStart"/>
      <w:r w:rsidRPr="00727791">
        <w:rPr>
          <w:rFonts w:ascii="微软雅黑" w:eastAsia="微软雅黑" w:hAnsi="微软雅黑"/>
          <w:lang w:eastAsia="zh-CN"/>
        </w:rPr>
        <w:t>月间差</w:t>
      </w:r>
      <w:proofErr w:type="gramEnd"/>
      <w:r w:rsidRPr="00727791">
        <w:rPr>
          <w:rFonts w:ascii="微软雅黑" w:eastAsia="微软雅黑" w:hAnsi="微软雅黑"/>
          <w:lang w:eastAsia="zh-CN"/>
        </w:rPr>
        <w:t>)，其中</w:t>
      </w:r>
      <w:proofErr w:type="gramStart"/>
      <w:r w:rsidRPr="00727791">
        <w:rPr>
          <w:rFonts w:ascii="微软雅黑" w:eastAsia="微软雅黑" w:hAnsi="微软雅黑"/>
          <w:lang w:eastAsia="zh-CN"/>
        </w:rPr>
        <w:t>月间差为</w:t>
      </w:r>
      <w:proofErr w:type="gramEnd"/>
      <w:r w:rsidRPr="00727791">
        <w:rPr>
          <w:rFonts w:ascii="微软雅黑" w:eastAsia="微软雅黑" w:hAnsi="微软雅黑"/>
          <w:lang w:eastAsia="zh-CN"/>
        </w:rPr>
        <w:t>近月与次月之间的月份差。正值表示backwardation（做多信号），负值表示contango（做空信号）。其次，对Carry因子进行截面标准化，即在每个交易日，将所有品种的Carry值进行Z-score标准化，得到标准化的Carry信号。最后，根据Carry信号的绝对值大小进行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调整，信号越强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越大，但单品种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不超过组合的5%。</w:t>
      </w:r>
    </w:p>
    <w:p w14:paraId="7CC799AB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2.3 境内外Carry差异</w:t>
      </w:r>
    </w:p>
    <w:p w14:paraId="105F40DE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境内</w:t>
      </w:r>
      <w:proofErr w:type="gramStart"/>
      <w:r w:rsidRPr="00727791">
        <w:rPr>
          <w:rFonts w:ascii="微软雅黑" w:eastAsia="微软雅黑" w:hAnsi="微软雅黑"/>
          <w:lang w:eastAsia="zh-CN"/>
        </w:rPr>
        <w:t>外商品</w:t>
      </w:r>
      <w:proofErr w:type="gramEnd"/>
      <w:r w:rsidRPr="00727791">
        <w:rPr>
          <w:rFonts w:ascii="微软雅黑" w:eastAsia="微软雅黑" w:hAnsi="微软雅黑"/>
          <w:lang w:eastAsia="zh-CN"/>
        </w:rPr>
        <w:t>期货的Carry结构存在显著差异，需要分别处理。国内品种中，黑色系（螺纹钢、铁矿石、焦炭）在旺季前常呈现backwardation结构，Carry因子信号较强；农产</w:t>
      </w:r>
      <w:r w:rsidRPr="00727791">
        <w:rPr>
          <w:rFonts w:ascii="微软雅黑" w:eastAsia="微软雅黑" w:hAnsi="微软雅黑"/>
          <w:lang w:eastAsia="zh-CN"/>
        </w:rPr>
        <w:lastRenderedPageBreak/>
        <w:t>品（豆</w:t>
      </w:r>
      <w:proofErr w:type="gramStart"/>
      <w:r w:rsidRPr="00727791">
        <w:rPr>
          <w:rFonts w:ascii="微软雅黑" w:eastAsia="微软雅黑" w:hAnsi="微软雅黑"/>
          <w:lang w:eastAsia="zh-CN"/>
        </w:rPr>
        <w:t>粕</w:t>
      </w:r>
      <w:proofErr w:type="gramEnd"/>
      <w:r w:rsidRPr="00727791">
        <w:rPr>
          <w:rFonts w:ascii="微软雅黑" w:eastAsia="微软雅黑" w:hAnsi="微软雅黑"/>
          <w:lang w:eastAsia="zh-CN"/>
        </w:rPr>
        <w:t>、豆油、棕榈油）受季节性影响明显，Carry因子呈现周期性波动；有色金属和贵金属的Carry因子相对稳定，但绝对值较小。境外品种中，能源类（WTI原油）的Carry结构变化剧烈，受OPEC减产政策和库存数据影响显著；农产品（CBOT大豆、玉米）的Carry因子季节性规律清晰；LME金属的Carry因子与美元利率密切相关。</w:t>
      </w:r>
    </w:p>
    <w:p w14:paraId="31482EFC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2.4 风险提示</w:t>
      </w:r>
    </w:p>
    <w:p w14:paraId="393F4513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Carry策略的主要风险在于展期结构突变。当市场供需预期发生剧烈变化时，contango和backwardation结构可能快速切换，导致Carry策略出现较大亏损。我们建议设置以下风控措施：第一，当Carry因子绝对值超过历史95%分位数时，将该品种的Carry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减半；第二，</w:t>
      </w:r>
      <w:proofErr w:type="gramStart"/>
      <w:r w:rsidRPr="00727791">
        <w:rPr>
          <w:rFonts w:ascii="微软雅黑" w:eastAsia="微软雅黑" w:hAnsi="微软雅黑"/>
          <w:lang w:eastAsia="zh-CN"/>
        </w:rPr>
        <w:t>当品种</w:t>
      </w:r>
      <w:proofErr w:type="gramEnd"/>
      <w:r w:rsidRPr="00727791">
        <w:rPr>
          <w:rFonts w:ascii="微软雅黑" w:eastAsia="微软雅黑" w:hAnsi="微软雅黑"/>
          <w:lang w:eastAsia="zh-CN"/>
        </w:rPr>
        <w:t>的展期结构在5个交易日内发生方向性反转时，立即平仓该品种的Carry头寸；第三，Carry策略的整体风险预算不超过组合总风险的25%。</w:t>
      </w:r>
    </w:p>
    <w:p w14:paraId="4B49C756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备忘录 #3：截面动量策略与品种选择</w:t>
      </w:r>
    </w:p>
    <w:p w14:paraId="68711B7C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3.1 策略逻辑</w:t>
      </w:r>
    </w:p>
    <w:p w14:paraId="56385DCE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截面动量（Cross-Sectional Momentum, XSMOM）策略与时间序列动量的区别在于：时间序列动量关注单个品种自身的趋势方向，而截面动量关注品种之间的相对强弱。具体而言，截面动量策略在每个交易日对所有品种的过去N日收益率进行排序，做多收益率最高的前M</w:t>
      </w:r>
      <w:proofErr w:type="gramStart"/>
      <w:r w:rsidRPr="00727791">
        <w:rPr>
          <w:rFonts w:ascii="微软雅黑" w:eastAsia="微软雅黑" w:hAnsi="微软雅黑"/>
          <w:lang w:eastAsia="zh-CN"/>
        </w:rPr>
        <w:t>个</w:t>
      </w:r>
      <w:proofErr w:type="gramEnd"/>
      <w:r w:rsidRPr="00727791">
        <w:rPr>
          <w:rFonts w:ascii="微软雅黑" w:eastAsia="微软雅黑" w:hAnsi="微软雅黑"/>
          <w:lang w:eastAsia="zh-CN"/>
        </w:rPr>
        <w:t>品种，做空收益率最低的后M</w:t>
      </w:r>
      <w:proofErr w:type="gramStart"/>
      <w:r w:rsidRPr="00727791">
        <w:rPr>
          <w:rFonts w:ascii="微软雅黑" w:eastAsia="微软雅黑" w:hAnsi="微软雅黑"/>
          <w:lang w:eastAsia="zh-CN"/>
        </w:rPr>
        <w:t>个</w:t>
      </w:r>
      <w:proofErr w:type="gramEnd"/>
      <w:r w:rsidRPr="00727791">
        <w:rPr>
          <w:rFonts w:ascii="微软雅黑" w:eastAsia="微软雅黑" w:hAnsi="微软雅黑"/>
          <w:lang w:eastAsia="zh-CN"/>
        </w:rPr>
        <w:t>品种，从而获取品种间相对强弱的收益。</w:t>
      </w:r>
    </w:p>
    <w:p w14:paraId="4B73880B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3.2 品种筛选与分组</w:t>
      </w:r>
    </w:p>
    <w:p w14:paraId="2A36F087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截面动量策略的有效性高度依赖</w:t>
      </w:r>
      <w:proofErr w:type="gramStart"/>
      <w:r w:rsidRPr="00727791">
        <w:rPr>
          <w:rFonts w:ascii="微软雅黑" w:eastAsia="微软雅黑" w:hAnsi="微软雅黑"/>
          <w:lang w:eastAsia="zh-CN"/>
        </w:rPr>
        <w:t>于品种池</w:t>
      </w:r>
      <w:proofErr w:type="gramEnd"/>
      <w:r w:rsidRPr="00727791">
        <w:rPr>
          <w:rFonts w:ascii="微软雅黑" w:eastAsia="微软雅黑" w:hAnsi="微软雅黑"/>
          <w:lang w:eastAsia="zh-CN"/>
        </w:rPr>
        <w:t>的选择。我们建议</w:t>
      </w:r>
      <w:proofErr w:type="gramStart"/>
      <w:r w:rsidRPr="00727791">
        <w:rPr>
          <w:rFonts w:ascii="微软雅黑" w:eastAsia="微软雅黑" w:hAnsi="微软雅黑"/>
          <w:lang w:eastAsia="zh-CN"/>
        </w:rPr>
        <w:t>将品种</w:t>
      </w:r>
      <w:proofErr w:type="gramEnd"/>
      <w:r w:rsidRPr="00727791">
        <w:rPr>
          <w:rFonts w:ascii="微软雅黑" w:eastAsia="微软雅黑" w:hAnsi="微软雅黑"/>
          <w:lang w:eastAsia="zh-CN"/>
        </w:rPr>
        <w:t>分为以下六个板块分别进行截面排序：有色金属板块（沪铜、沪铝、沪锌、COMEX铜、LME铜、LME铝）、黑色系板块（螺纹钢、热卷、铁矿石、焦炭、焦煤）、贵金属板块（沪金、沪银、COMEX黄金、COMEX白银）、农产品板块（豆</w:t>
      </w:r>
      <w:proofErr w:type="gramStart"/>
      <w:r w:rsidRPr="00727791">
        <w:rPr>
          <w:rFonts w:ascii="微软雅黑" w:eastAsia="微软雅黑" w:hAnsi="微软雅黑"/>
          <w:lang w:eastAsia="zh-CN"/>
        </w:rPr>
        <w:t>粕</w:t>
      </w:r>
      <w:proofErr w:type="gramEnd"/>
      <w:r w:rsidRPr="00727791">
        <w:rPr>
          <w:rFonts w:ascii="微软雅黑" w:eastAsia="微软雅黑" w:hAnsi="微软雅黑"/>
          <w:lang w:eastAsia="zh-CN"/>
        </w:rPr>
        <w:t>、豆油、棕榈油、棉花、白糖、CBOT大豆、CBOT玉米、ICE糖、ICE棉花）、能源板块（原油、WTI原油、PTA、甲醇）、化工板块（PTA、甲醇）。在</w:t>
      </w:r>
      <w:proofErr w:type="gramStart"/>
      <w:r w:rsidRPr="00727791">
        <w:rPr>
          <w:rFonts w:ascii="微软雅黑" w:eastAsia="微软雅黑" w:hAnsi="微软雅黑"/>
          <w:lang w:eastAsia="zh-CN"/>
        </w:rPr>
        <w:t>每个板块</w:t>
      </w:r>
      <w:proofErr w:type="gramEnd"/>
      <w:r w:rsidRPr="00727791">
        <w:rPr>
          <w:rFonts w:ascii="微软雅黑" w:eastAsia="微软雅黑" w:hAnsi="微软雅黑"/>
          <w:lang w:eastAsia="zh-CN"/>
        </w:rPr>
        <w:t>内，做多过去20日收益率排名前30%的品种，做空排名后30%的品种，中间40%不持仓。</w:t>
      </w:r>
    </w:p>
    <w:p w14:paraId="18B63F6A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lastRenderedPageBreak/>
        <w:t>3.3 境内</w:t>
      </w:r>
      <w:proofErr w:type="gramStart"/>
      <w:r w:rsidRPr="00727791">
        <w:rPr>
          <w:rFonts w:ascii="微软雅黑" w:eastAsia="微软雅黑" w:hAnsi="微软雅黑"/>
          <w:color w:val="auto"/>
          <w:lang w:eastAsia="zh-CN"/>
        </w:rPr>
        <w:t>外品种</w:t>
      </w:r>
      <w:proofErr w:type="gramEnd"/>
      <w:r w:rsidRPr="00727791">
        <w:rPr>
          <w:rFonts w:ascii="微软雅黑" w:eastAsia="微软雅黑" w:hAnsi="微软雅黑"/>
          <w:color w:val="auto"/>
          <w:lang w:eastAsia="zh-CN"/>
        </w:rPr>
        <w:t>对冲</w:t>
      </w:r>
    </w:p>
    <w:p w14:paraId="22AB8D37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同一商品在境内外市场同时上市时（如沪铜与LME铜、沪金与COMEX黄金），可以利用截面动量信号进行跨市场对冲交易。当国内品种的动量信号强于境外对应品种时，做多国内、做空境外（需考虑汇率因素）；反之亦然。这种跨市场对冲策略可以有效降低系统性风险，提高策略的夏普比率。但需注意：跨市场对冲的执行成本较高（包括交易成本和汇率对冲成本），且两个市场的交易时段不完全重叠，</w:t>
      </w:r>
      <w:proofErr w:type="gramStart"/>
      <w:r w:rsidRPr="00727791">
        <w:rPr>
          <w:rFonts w:ascii="微软雅黑" w:eastAsia="微软雅黑" w:hAnsi="微软雅黑"/>
          <w:lang w:eastAsia="zh-CN"/>
        </w:rPr>
        <w:t>存在滑点风险</w:t>
      </w:r>
      <w:proofErr w:type="gramEnd"/>
      <w:r w:rsidRPr="00727791">
        <w:rPr>
          <w:rFonts w:ascii="微软雅黑" w:eastAsia="微软雅黑" w:hAnsi="微软雅黑"/>
          <w:lang w:eastAsia="zh-CN"/>
        </w:rPr>
        <w:t>。</w:t>
      </w:r>
    </w:p>
    <w:p w14:paraId="2A554A4D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备忘录 #4：波动率突破策略与自适应参数</w:t>
      </w:r>
    </w:p>
    <w:p w14:paraId="25104537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4.1 策略逻辑</w:t>
      </w:r>
    </w:p>
    <w:p w14:paraId="7C3C0F44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波动率突破策略的核心逻辑是：当价格突破近期波动区间时，趋势可能已经形成，此时顺势开仓可以捕获趋势的早期阶段。与传统的</w:t>
      </w:r>
      <w:proofErr w:type="spellStart"/>
      <w:r w:rsidRPr="00727791">
        <w:rPr>
          <w:rFonts w:ascii="微软雅黑" w:eastAsia="微软雅黑" w:hAnsi="微软雅黑"/>
          <w:lang w:eastAsia="zh-CN"/>
        </w:rPr>
        <w:t>Donchian</w:t>
      </w:r>
      <w:proofErr w:type="spellEnd"/>
      <w:r w:rsidRPr="00727791">
        <w:rPr>
          <w:rFonts w:ascii="微软雅黑" w:eastAsia="微软雅黑" w:hAnsi="微软雅黑"/>
          <w:lang w:eastAsia="zh-CN"/>
        </w:rPr>
        <w:t>通道突破不同，我们使用ATR（Average True Range）来衡量波动率，并基于ATR的倍数来设置突破阈值，使策略具有自适应性——在波动率较高的市场中，突破阈值自动放大，避免被噪声触发；在波动率较低的市场中，突破阈值自动缩小，提高信号灵敏度。</w:t>
      </w:r>
    </w:p>
    <w:p w14:paraId="27229E10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4.2 ATR参数设置</w:t>
      </w:r>
    </w:p>
    <w:p w14:paraId="7616971D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ATR的计算周期建议使用14日（与业界标准一致）。突破阈值设置为ATR的2倍，即当价格突破前一日收盘价加减2倍ATR时，产生交易信号。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大小使用ATR的倒数来计算，即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 xml:space="preserve"> = 风险预算 / (ATR × 合约乘数)，确保每个品种的波动</w:t>
      </w:r>
      <w:proofErr w:type="gramStart"/>
      <w:r w:rsidRPr="00727791">
        <w:rPr>
          <w:rFonts w:ascii="微软雅黑" w:eastAsia="微软雅黑" w:hAnsi="微软雅黑"/>
          <w:lang w:eastAsia="zh-CN"/>
        </w:rPr>
        <w:t>率贡献</w:t>
      </w:r>
      <w:proofErr w:type="gramEnd"/>
      <w:r w:rsidRPr="00727791">
        <w:rPr>
          <w:rFonts w:ascii="微软雅黑" w:eastAsia="微软雅黑" w:hAnsi="微软雅黑"/>
          <w:lang w:eastAsia="zh-CN"/>
        </w:rPr>
        <w:t>大致相等。止</w:t>
      </w:r>
      <w:proofErr w:type="gramStart"/>
      <w:r w:rsidRPr="00727791">
        <w:rPr>
          <w:rFonts w:ascii="微软雅黑" w:eastAsia="微软雅黑" w:hAnsi="微软雅黑"/>
          <w:lang w:eastAsia="zh-CN"/>
        </w:rPr>
        <w:t>损设置</w:t>
      </w:r>
      <w:proofErr w:type="gramEnd"/>
      <w:r w:rsidRPr="00727791">
        <w:rPr>
          <w:rFonts w:ascii="微软雅黑" w:eastAsia="微软雅黑" w:hAnsi="微软雅黑"/>
          <w:lang w:eastAsia="zh-CN"/>
        </w:rPr>
        <w:t>为1.5倍ATR，止</w:t>
      </w:r>
      <w:proofErr w:type="gramStart"/>
      <w:r w:rsidRPr="00727791">
        <w:rPr>
          <w:rFonts w:ascii="微软雅黑" w:eastAsia="微软雅黑" w:hAnsi="微软雅黑"/>
          <w:lang w:eastAsia="zh-CN"/>
        </w:rPr>
        <w:t>盈设置</w:t>
      </w:r>
      <w:proofErr w:type="gramEnd"/>
      <w:r w:rsidRPr="00727791">
        <w:rPr>
          <w:rFonts w:ascii="微软雅黑" w:eastAsia="微软雅黑" w:hAnsi="微软雅黑"/>
          <w:lang w:eastAsia="zh-CN"/>
        </w:rPr>
        <w:t>为3倍ATR，风险收益比为1:2。</w:t>
      </w:r>
    </w:p>
    <w:p w14:paraId="5BB0226D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4.3 自适应调整机制</w:t>
      </w:r>
    </w:p>
    <w:p w14:paraId="0F25A936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为适应不同市场环境，我们引入以下自适应调整机制：第一，波动</w:t>
      </w:r>
      <w:proofErr w:type="gramStart"/>
      <w:r w:rsidRPr="00727791">
        <w:rPr>
          <w:rFonts w:ascii="微软雅黑" w:eastAsia="微软雅黑" w:hAnsi="微软雅黑"/>
          <w:lang w:eastAsia="zh-CN"/>
        </w:rPr>
        <w:t>率状态</w:t>
      </w:r>
      <w:proofErr w:type="gramEnd"/>
      <w:r w:rsidRPr="00727791">
        <w:rPr>
          <w:rFonts w:ascii="微软雅黑" w:eastAsia="微软雅黑" w:hAnsi="微软雅黑"/>
          <w:lang w:eastAsia="zh-CN"/>
        </w:rPr>
        <w:t>识别——使用HMM（隐马尔可夫模型）将市场分为高波动和低波动两种状态，高波动状态下突破阈值扩大至2.5倍ATR，低波动状态下缩小至1.5倍ATR；第二，趋势强度过滤——使用ADX（Average Directional Index）指标衡量趋势强度，当ADX低于20时（无趋势市场），暂停突破信号，避免在震荡市中频繁开仓；第三，时间过滤——在重要经济数据发布前后（如非农就业、CPI等）暂停突破信号，避免数据驱动的假突破。</w:t>
      </w:r>
    </w:p>
    <w:p w14:paraId="32D92887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lastRenderedPageBreak/>
        <w:t>备忘录 #5：均值回归策略与配对交易</w:t>
      </w:r>
    </w:p>
    <w:p w14:paraId="4FF48774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5.1 策略逻辑</w:t>
      </w:r>
    </w:p>
    <w:p w14:paraId="72FD40C2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均值回归策略</w:t>
      </w:r>
      <w:proofErr w:type="gramStart"/>
      <w:r w:rsidRPr="00727791">
        <w:rPr>
          <w:rFonts w:ascii="微软雅黑" w:eastAsia="微软雅黑" w:hAnsi="微软雅黑"/>
          <w:lang w:eastAsia="zh-CN"/>
        </w:rPr>
        <w:t>基于"</w:t>
      </w:r>
      <w:proofErr w:type="gramEnd"/>
      <w:r w:rsidRPr="00727791">
        <w:rPr>
          <w:rFonts w:ascii="微软雅黑" w:eastAsia="微软雅黑" w:hAnsi="微软雅黑"/>
          <w:lang w:eastAsia="zh-CN"/>
        </w:rPr>
        <w:t>价格终将回归均值"的假设，在价格偏离历史均值较远时进行反向交易。在商品期货中，均值回归策略主要应用于以下场景：第一，产业链配对交易——利用上下游品种之间的价差均值回归特性进行交易，如豆</w:t>
      </w:r>
      <w:proofErr w:type="gramStart"/>
      <w:r w:rsidRPr="00727791">
        <w:rPr>
          <w:rFonts w:ascii="微软雅黑" w:eastAsia="微软雅黑" w:hAnsi="微软雅黑"/>
          <w:lang w:eastAsia="zh-CN"/>
        </w:rPr>
        <w:t>粕</w:t>
      </w:r>
      <w:proofErr w:type="gramEnd"/>
      <w:r w:rsidRPr="00727791">
        <w:rPr>
          <w:rFonts w:ascii="微软雅黑" w:eastAsia="微软雅黑" w:hAnsi="微软雅黑"/>
          <w:lang w:eastAsia="zh-CN"/>
        </w:rPr>
        <w:t>与豆油（压榨价差）、螺纹钢与铁矿石（钢厂利润）、焦炭与焦煤（焦化利润）；第二，跨市场配对交易——利用同一商品在境内外市场的价差均值回归特性，如沪铜与LME铜的价差、沪金与COMEX黄金的价差；第三，单品种均值回归——在价格偏离移动均线较远时进行反向交易，适用于震荡市。</w:t>
      </w:r>
    </w:p>
    <w:p w14:paraId="78AA4796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 xml:space="preserve">5.2 </w:t>
      </w:r>
      <w:proofErr w:type="gramStart"/>
      <w:r w:rsidRPr="00727791">
        <w:rPr>
          <w:rFonts w:ascii="微软雅黑" w:eastAsia="微软雅黑" w:hAnsi="微软雅黑"/>
          <w:color w:val="auto"/>
          <w:lang w:eastAsia="zh-CN"/>
        </w:rPr>
        <w:t>协整检验</w:t>
      </w:r>
      <w:proofErr w:type="gramEnd"/>
      <w:r w:rsidRPr="00727791">
        <w:rPr>
          <w:rFonts w:ascii="微软雅黑" w:eastAsia="微软雅黑" w:hAnsi="微软雅黑"/>
          <w:color w:val="auto"/>
          <w:lang w:eastAsia="zh-CN"/>
        </w:rPr>
        <w:t>方法</w:t>
      </w:r>
    </w:p>
    <w:p w14:paraId="37894219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配对交易的前提是两个品种的价格序列</w:t>
      </w:r>
      <w:proofErr w:type="gramStart"/>
      <w:r w:rsidRPr="00727791">
        <w:rPr>
          <w:rFonts w:ascii="微软雅黑" w:eastAsia="微软雅黑" w:hAnsi="微软雅黑"/>
          <w:lang w:eastAsia="zh-CN"/>
        </w:rPr>
        <w:t>存在协整关系</w:t>
      </w:r>
      <w:proofErr w:type="gramEnd"/>
      <w:r w:rsidRPr="00727791">
        <w:rPr>
          <w:rFonts w:ascii="微软雅黑" w:eastAsia="微软雅黑" w:hAnsi="微软雅黑"/>
          <w:lang w:eastAsia="zh-CN"/>
        </w:rPr>
        <w:t>。我们使用Engle-Granger两步法</w:t>
      </w:r>
      <w:proofErr w:type="gramStart"/>
      <w:r w:rsidRPr="00727791">
        <w:rPr>
          <w:rFonts w:ascii="微软雅黑" w:eastAsia="微软雅黑" w:hAnsi="微软雅黑"/>
          <w:lang w:eastAsia="zh-CN"/>
        </w:rPr>
        <w:t>进行协整检验</w:t>
      </w:r>
      <w:proofErr w:type="gramEnd"/>
      <w:r w:rsidRPr="00727791">
        <w:rPr>
          <w:rFonts w:ascii="微软雅黑" w:eastAsia="微软雅黑" w:hAnsi="微软雅黑"/>
          <w:lang w:eastAsia="zh-CN"/>
        </w:rPr>
        <w:t>：首先，对两个品种的价格序列进行OLS回归，得到残差序列；其次，对残差序列进行ADF检验，如果ADF统计量在5%显著性水平下拒绝单位根假设，则认为两个品种</w:t>
      </w:r>
      <w:proofErr w:type="gramStart"/>
      <w:r w:rsidRPr="00727791">
        <w:rPr>
          <w:rFonts w:ascii="微软雅黑" w:eastAsia="微软雅黑" w:hAnsi="微软雅黑"/>
          <w:lang w:eastAsia="zh-CN"/>
        </w:rPr>
        <w:t>存在协整关系</w:t>
      </w:r>
      <w:proofErr w:type="gramEnd"/>
      <w:r w:rsidRPr="00727791">
        <w:rPr>
          <w:rFonts w:ascii="微软雅黑" w:eastAsia="微软雅黑" w:hAnsi="微软雅黑"/>
          <w:lang w:eastAsia="zh-CN"/>
        </w:rPr>
        <w:t>。我们每月重新进行</w:t>
      </w:r>
      <w:proofErr w:type="gramStart"/>
      <w:r w:rsidRPr="00727791">
        <w:rPr>
          <w:rFonts w:ascii="微软雅黑" w:eastAsia="微软雅黑" w:hAnsi="微软雅黑"/>
          <w:lang w:eastAsia="zh-CN"/>
        </w:rPr>
        <w:t>一次协整检验</w:t>
      </w:r>
      <w:proofErr w:type="gramEnd"/>
      <w:r w:rsidRPr="00727791">
        <w:rPr>
          <w:rFonts w:ascii="微软雅黑" w:eastAsia="微软雅黑" w:hAnsi="微软雅黑"/>
          <w:lang w:eastAsia="zh-CN"/>
        </w:rPr>
        <w:t>，确保配对关系的有效性。当前</w:t>
      </w:r>
      <w:proofErr w:type="gramStart"/>
      <w:r w:rsidRPr="00727791">
        <w:rPr>
          <w:rFonts w:ascii="微软雅黑" w:eastAsia="微软雅黑" w:hAnsi="微软雅黑"/>
          <w:lang w:eastAsia="zh-CN"/>
        </w:rPr>
        <w:t>通过协整检验</w:t>
      </w:r>
      <w:proofErr w:type="gramEnd"/>
      <w:r w:rsidRPr="00727791">
        <w:rPr>
          <w:rFonts w:ascii="微软雅黑" w:eastAsia="微软雅黑" w:hAnsi="微软雅黑"/>
          <w:lang w:eastAsia="zh-CN"/>
        </w:rPr>
        <w:t>的配对包括：豆</w:t>
      </w:r>
      <w:proofErr w:type="gramStart"/>
      <w:r w:rsidRPr="00727791">
        <w:rPr>
          <w:rFonts w:ascii="微软雅黑" w:eastAsia="微软雅黑" w:hAnsi="微软雅黑"/>
          <w:lang w:eastAsia="zh-CN"/>
        </w:rPr>
        <w:t>粕</w:t>
      </w:r>
      <w:proofErr w:type="gramEnd"/>
      <w:r w:rsidRPr="00727791">
        <w:rPr>
          <w:rFonts w:ascii="微软雅黑" w:eastAsia="微软雅黑" w:hAnsi="微软雅黑"/>
          <w:lang w:eastAsia="zh-CN"/>
        </w:rPr>
        <w:t>-豆油、螺纹钢-铁矿石、焦炭-焦煤、沪铜-LME铜、沪金-COMEX黄金、WTI原油-SC原油。</w:t>
      </w:r>
    </w:p>
    <w:p w14:paraId="27B9959F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5.3 开平仓规则</w:t>
      </w:r>
    </w:p>
    <w:p w14:paraId="15ADB4C1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配对交易的开平仓规则基于价差的Z-score：当价差Z-score超过2.0时开仓（做空价差），当Z-score回归至0.5以内时平仓；当价差Z-score低于-2.0时开仓（做多价差），当Z-score回归至-0.5以内时平仓。止</w:t>
      </w:r>
      <w:proofErr w:type="gramStart"/>
      <w:r w:rsidRPr="00727791">
        <w:rPr>
          <w:rFonts w:ascii="微软雅黑" w:eastAsia="微软雅黑" w:hAnsi="微软雅黑"/>
          <w:lang w:eastAsia="zh-CN"/>
        </w:rPr>
        <w:t>损设置</w:t>
      </w:r>
      <w:proofErr w:type="gramEnd"/>
      <w:r w:rsidRPr="00727791">
        <w:rPr>
          <w:rFonts w:ascii="微软雅黑" w:eastAsia="微软雅黑" w:hAnsi="微软雅黑"/>
          <w:lang w:eastAsia="zh-CN"/>
        </w:rPr>
        <w:t>为Z-score达到3.0（或-3.0），意味着价差偏离已超出历史正常范围，</w:t>
      </w:r>
      <w:proofErr w:type="gramStart"/>
      <w:r w:rsidRPr="00727791">
        <w:rPr>
          <w:rFonts w:ascii="微软雅黑" w:eastAsia="微软雅黑" w:hAnsi="微软雅黑"/>
          <w:lang w:eastAsia="zh-CN"/>
        </w:rPr>
        <w:t>协整关系</w:t>
      </w:r>
      <w:proofErr w:type="gramEnd"/>
      <w:r w:rsidRPr="00727791">
        <w:rPr>
          <w:rFonts w:ascii="微软雅黑" w:eastAsia="微软雅黑" w:hAnsi="微软雅黑"/>
          <w:lang w:eastAsia="zh-CN"/>
        </w:rPr>
        <w:t>可能已失效。每个配对的风险预算不超过组合总风险的8%。</w:t>
      </w:r>
    </w:p>
    <w:p w14:paraId="43FC083C" w14:textId="77777777" w:rsidR="006F7A66" w:rsidRPr="0072779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备忘录 #6：多策略组合与风险预算分配</w:t>
      </w:r>
    </w:p>
    <w:p w14:paraId="36D4C183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6.1 策略相关性分析</w:t>
      </w:r>
    </w:p>
    <w:p w14:paraId="1B107EA8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我们对五个子策略（时间序列动量、截面动量、Carry/Basis、波动率突破、均值回归）的历史表现进行了相关性分析。结果显示：时间序列动量与波动率突破的相关性最高（约</w:t>
      </w:r>
      <w:r w:rsidRPr="00727791">
        <w:rPr>
          <w:rFonts w:ascii="微软雅黑" w:eastAsia="微软雅黑" w:hAnsi="微软雅黑"/>
          <w:lang w:eastAsia="zh-CN"/>
        </w:rPr>
        <w:lastRenderedPageBreak/>
        <w:t>0.55），因为两者都是趋势跟踪类策略；截面动量与时间序列动量的相关性约为0.35；Carry/Basis与趋势类策略的相关性较低（约0.15-0.25），是良好的分散化工具；均值回归与趋势类策略呈负相关（约-0.15），在趋势反转时提供保护。基于以上分析，我们建议的风险预算初始分配为：时间序列动量30%、截面动量20%、Carry/Basis 20%、波动率突破15%、均值回归15%。</w:t>
      </w:r>
    </w:p>
    <w:p w14:paraId="62D7B21E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6.2 动态调整机制</w:t>
      </w:r>
    </w:p>
    <w:p w14:paraId="07D926DB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风险预算的动态调整基于以下原则：第一，策略动量调整——过去60日夏普比率排名前两名的策略风险预算上浮20%，排名后两名的策略风险预算下浮20%；第二，相关性调整——当策略间平均相关性超过0.5时，整体风险预算乘以缩放因子(1-平均相关性)，降低组合杠杆；第三，波动率调整——当组合实际波动率超过目标波动率上限（15%）时，所有策略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等比例缩减，使波动</w:t>
      </w:r>
      <w:proofErr w:type="gramStart"/>
      <w:r w:rsidRPr="00727791">
        <w:rPr>
          <w:rFonts w:ascii="微软雅黑" w:eastAsia="微软雅黑" w:hAnsi="微软雅黑"/>
          <w:lang w:eastAsia="zh-CN"/>
        </w:rPr>
        <w:t>率回归</w:t>
      </w:r>
      <w:proofErr w:type="gramEnd"/>
      <w:r w:rsidRPr="00727791">
        <w:rPr>
          <w:rFonts w:ascii="微软雅黑" w:eastAsia="微软雅黑" w:hAnsi="微软雅黑"/>
          <w:lang w:eastAsia="zh-CN"/>
        </w:rPr>
        <w:t>目标区间；第四，回撤调整——当组合回撤超过5%时，启动分级减仓机制（详见</w:t>
      </w:r>
      <w:proofErr w:type="gramStart"/>
      <w:r w:rsidRPr="00727791">
        <w:rPr>
          <w:rFonts w:ascii="微软雅黑" w:eastAsia="微软雅黑" w:hAnsi="微软雅黑"/>
          <w:lang w:eastAsia="zh-CN"/>
        </w:rPr>
        <w:t>风控政策</w:t>
      </w:r>
      <w:proofErr w:type="gramEnd"/>
      <w:r w:rsidRPr="00727791">
        <w:rPr>
          <w:rFonts w:ascii="微软雅黑" w:eastAsia="微软雅黑" w:hAnsi="微软雅黑"/>
          <w:lang w:eastAsia="zh-CN"/>
        </w:rPr>
        <w:t>文档第三章）。</w:t>
      </w:r>
    </w:p>
    <w:p w14:paraId="30B46000" w14:textId="77777777" w:rsidR="006F7A66" w:rsidRPr="0072779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27791">
        <w:rPr>
          <w:rFonts w:ascii="微软雅黑" w:eastAsia="微软雅黑" w:hAnsi="微软雅黑"/>
          <w:color w:val="auto"/>
          <w:lang w:eastAsia="zh-CN"/>
        </w:rPr>
        <w:t>6.3 再平衡频率</w:t>
      </w:r>
    </w:p>
    <w:p w14:paraId="12D39B92" w14:textId="77777777" w:rsidR="006F7A66" w:rsidRPr="00727791" w:rsidRDefault="00000000">
      <w:pPr>
        <w:rPr>
          <w:rFonts w:ascii="微软雅黑" w:eastAsia="微软雅黑" w:hAnsi="微软雅黑" w:hint="eastAsia"/>
          <w:lang w:eastAsia="zh-CN"/>
        </w:rPr>
      </w:pPr>
      <w:r w:rsidRPr="00727791">
        <w:rPr>
          <w:rFonts w:ascii="微软雅黑" w:eastAsia="微软雅黑" w:hAnsi="微软雅黑"/>
          <w:lang w:eastAsia="zh-CN"/>
        </w:rPr>
        <w:t>策略权重的再平衡频率为每月一次，在每月第一个交易日执行。再平衡时，权重调整幅度不超过当前权重的30%，以控制交易成本。如果某策略的权重偏离目标权重不超过10%，则不进行调整。每日进行</w:t>
      </w:r>
      <w:proofErr w:type="gramStart"/>
      <w:r w:rsidRPr="00727791">
        <w:rPr>
          <w:rFonts w:ascii="微软雅黑" w:eastAsia="微软雅黑" w:hAnsi="微软雅黑"/>
          <w:lang w:eastAsia="zh-CN"/>
        </w:rPr>
        <w:t>仓位</w:t>
      </w:r>
      <w:proofErr w:type="gramEnd"/>
      <w:r w:rsidRPr="00727791">
        <w:rPr>
          <w:rFonts w:ascii="微软雅黑" w:eastAsia="微软雅黑" w:hAnsi="微软雅黑"/>
          <w:lang w:eastAsia="zh-CN"/>
        </w:rPr>
        <w:t>监控，确保实际权重与目标权重的偏差不超过5%。</w:t>
      </w:r>
    </w:p>
    <w:sectPr w:rsidR="006F7A66" w:rsidRPr="007277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195239">
    <w:abstractNumId w:val="8"/>
  </w:num>
  <w:num w:numId="2" w16cid:durableId="1865366531">
    <w:abstractNumId w:val="6"/>
  </w:num>
  <w:num w:numId="3" w16cid:durableId="327833907">
    <w:abstractNumId w:val="5"/>
  </w:num>
  <w:num w:numId="4" w16cid:durableId="811873437">
    <w:abstractNumId w:val="4"/>
  </w:num>
  <w:num w:numId="5" w16cid:durableId="789282066">
    <w:abstractNumId w:val="7"/>
  </w:num>
  <w:num w:numId="6" w16cid:durableId="2010600584">
    <w:abstractNumId w:val="3"/>
  </w:num>
  <w:num w:numId="7" w16cid:durableId="697898175">
    <w:abstractNumId w:val="2"/>
  </w:num>
  <w:num w:numId="8" w16cid:durableId="1674718975">
    <w:abstractNumId w:val="1"/>
  </w:num>
  <w:num w:numId="9" w16cid:durableId="194341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A66"/>
    <w:rsid w:val="00727791"/>
    <w:rsid w:val="008364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AE030"/>
  <w14:defaultImageDpi w14:val="300"/>
  <w15:docId w15:val="{81C82D9B-E37A-4719-B77E-9A6C5E27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2152</Words>
  <Characters>2519</Characters>
  <Application>Microsoft Office Word</Application>
  <DocSecurity>0</DocSecurity>
  <Lines>76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zsqh</cp:lastModifiedBy>
  <cp:revision>2</cp:revision>
  <dcterms:created xsi:type="dcterms:W3CDTF">2013-12-23T23:15:00Z</dcterms:created>
  <dcterms:modified xsi:type="dcterms:W3CDTF">2026-05-20T16:38:00Z</dcterms:modified>
  <cp:category/>
</cp:coreProperties>
</file>