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AC694">
      <w:pPr>
        <w:spacing w:line="560" w:lineRule="exact"/>
        <w:jc w:val="center"/>
        <w:rPr>
          <w:rFonts w:hint="eastAsia" w:ascii="Times New Roman" w:hAnsi="Times New Roman" w:eastAsia="方正小标宋简体" w:cs="Times New Roman"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方正小标宋简体" w:cs="Times New Roman"/>
          <w:color w:val="000000"/>
          <w:kern w:val="2"/>
          <w:sz w:val="44"/>
          <w:szCs w:val="44"/>
          <w:lang w:val="en-US" w:eastAsia="zh-CN" w:bidi="ar-SA"/>
        </w:rPr>
        <w:t xml:space="preserve">四川云控交通科技有限责任公司  </w:t>
      </w:r>
    </w:p>
    <w:p w14:paraId="0F22C7E5">
      <w:pPr>
        <w:spacing w:line="560" w:lineRule="exact"/>
        <w:jc w:val="center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Times New Roman" w:hAnsi="Times New Roman" w:eastAsia="方正小标宋简体" w:cs="Times New Roman"/>
          <w:color w:val="000000"/>
          <w:kern w:val="2"/>
          <w:sz w:val="44"/>
          <w:szCs w:val="44"/>
          <w:lang w:val="en-US" w:eastAsia="zh-CN" w:bidi="ar-SA"/>
        </w:rPr>
        <w:t>系统开发和建设安全管理</w:t>
      </w:r>
    </w:p>
    <w:p w14:paraId="4ABAE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系统开发与建设安全管理制度（试行）</w:t>
      </w:r>
    </w:p>
    <w:p w14:paraId="5523B848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 总则</w:t>
      </w:r>
    </w:p>
    <w:p w14:paraId="46048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第一条 【目的与依据】</w:t>
      </w:r>
    </w:p>
    <w:p w14:paraId="214B2B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为加强本部门在系统规划、需求、设计、编码、测试、上线及运维全生命周期的网络安全管理，落实《网络安全法》《数据安全法》《关键信息基础设施安全保护条例》、国资委/集团《网络安全管理办法》及公司《系统应用安全管理制度》等上位文件，特制定本制度。</w:t>
      </w:r>
      <w:bookmarkStart w:id="0" w:name="_GoBack"/>
      <w:bookmarkEnd w:id="0"/>
    </w:p>
    <w:p w14:paraId="1F8149DD">
      <w:pPr>
        <w:pStyle w:val="2"/>
        <w:rPr>
          <w:rFonts w:hint="eastAsia"/>
          <w:lang w:val="en-US" w:eastAsia="zh-CN"/>
        </w:rPr>
      </w:pPr>
    </w:p>
    <w:p w14:paraId="7A8321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第二条 【适用范围】  </w:t>
      </w:r>
    </w:p>
    <w:p w14:paraId="35D6F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本制度适用于研发网络事业部本部、下属各产品中心、项目中心及所有为本部门提供开发、测试、运维、数据服务的外包、协作、实习、第三方人员。 </w:t>
      </w:r>
    </w:p>
    <w:p w14:paraId="28250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</w:t>
      </w:r>
    </w:p>
    <w:p w14:paraId="00AC0C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第三条 【工作原则】  </w:t>
      </w:r>
    </w:p>
    <w:p w14:paraId="5A5ACE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1.“三同步、三同时、三必须”：同步规划、同步建设、同步运行安全；  </w:t>
      </w:r>
    </w:p>
    <w:p w14:paraId="314E0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2.需求阶段同时明确安全要求，设计阶段同时输出安全方案，验收阶段同时完成安全测试；  </w:t>
      </w:r>
    </w:p>
    <w:p w14:paraId="2E5F62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3.所有系统必须纳入安全基线、必须接入公司统一安全运营平台、必须完成上线前安全评估。  </w:t>
      </w:r>
    </w:p>
    <w:p w14:paraId="73225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D16EEAD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 组织与职责</w:t>
      </w:r>
    </w:p>
    <w:p w14:paraId="41F65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第四条 【研发网络安全领导小组】（以下简称“领导小组”）</w:t>
      </w:r>
    </w:p>
    <w:p w14:paraId="1C9F4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组长：研发部门负责人（第一责任人）</w:t>
      </w:r>
    </w:p>
    <w:p w14:paraId="7FAC8C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副组长：分管安全副职、各产品中心总监</w:t>
      </w:r>
    </w:p>
    <w:p w14:paraId="6F240A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职责：</w:t>
      </w:r>
    </w:p>
    <w:p w14:paraId="7A0A50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1.审批年度安全目标、预算、重大安全建设方案；  </w:t>
      </w:r>
    </w:p>
    <w:p w14:paraId="6D9493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2.每季度召开安全例会，听取安全工作报告，决策重大安全事项；</w:t>
      </w:r>
    </w:p>
    <w:p w14:paraId="52601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3.对造成重大安全事故的项目“一票否决”，取消当年评优评先资格。</w:t>
      </w:r>
    </w:p>
    <w:p w14:paraId="58F2F6AA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468694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第五条 【安全合规与质量组】（以下简称“安合规组”）  </w:t>
      </w:r>
    </w:p>
    <w:p w14:paraId="4CEE8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设在部门综合办公室，设专职安全架构师1名、安全工程师若干。</w:t>
      </w:r>
    </w:p>
    <w:p w14:paraId="4A0168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职责：</w:t>
      </w:r>
    </w:p>
    <w:p w14:paraId="4E8D92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制定并维护《研发安全基线》《开源组件白名单》《高危操作清单》；</w:t>
      </w:r>
    </w:p>
    <w:p w14:paraId="48177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组织安全培训、攻防演练、代码审计、渗透测试；  </w:t>
      </w:r>
    </w:p>
    <w:p w14:paraId="2804A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对所有项目开展“安全评审—整改—复测—放行”闭环管理。</w:t>
      </w:r>
    </w:p>
    <w:p w14:paraId="1BA04E42">
      <w:pPr>
        <w:pStyle w:val="2"/>
        <w:rPr>
          <w:rFonts w:hint="eastAsia"/>
          <w:lang w:val="en-US" w:eastAsia="zh-CN"/>
        </w:rPr>
      </w:pPr>
    </w:p>
    <w:p w14:paraId="4DFAEA28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 系统全生命周期安全管理</w:t>
      </w:r>
    </w:p>
    <w:p w14:paraId="114DF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第一节 需求与立项阶段</w:t>
      </w:r>
    </w:p>
    <w:p w14:paraId="17CFD505">
      <w:pPr>
        <w:pStyle w:val="2"/>
        <w:rPr>
          <w:rFonts w:hint="eastAsia"/>
          <w:lang w:val="en-US" w:eastAsia="zh-CN"/>
        </w:rPr>
      </w:pPr>
    </w:p>
    <w:p w14:paraId="705D7A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第六条 【安全需求矩阵】</w:t>
      </w:r>
    </w:p>
    <w:p w14:paraId="2C604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项目经理须在《业务需求说明书》中专设一章“安全需求矩阵”，至少覆盖：</w:t>
      </w:r>
    </w:p>
    <w:p w14:paraId="6A3BA8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业务数据分级（核心/重要/一般）与保护等级；</w:t>
      </w:r>
    </w:p>
    <w:p w14:paraId="15BCE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合规要求（等保2.0、关基、国密、个人信息保护规范）；</w:t>
      </w:r>
    </w:p>
    <w:p w14:paraId="7591F8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外部接口最小权限清单；</w:t>
      </w:r>
    </w:p>
    <w:p w14:paraId="65FD28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4. 用户角色与可访问资源RBAC模型；</w:t>
      </w:r>
    </w:p>
    <w:p w14:paraId="31F1A0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5. 安全验收指标（漏洞密度≤0.2个/kloc、高危漏洞清零等）。  </w:t>
      </w:r>
    </w:p>
    <w:p w14:paraId="6579A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第七条 【安全立项评审】</w:t>
      </w:r>
    </w:p>
    <w:p w14:paraId="798C2B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安合规组对立项进行“安全可行性”评审，出具《安全评审意见书》，评审不通过不得进入预算环节。</w:t>
      </w:r>
    </w:p>
    <w:p w14:paraId="54E80315">
      <w:pPr>
        <w:pStyle w:val="2"/>
        <w:rPr>
          <w:rFonts w:hint="eastAsia"/>
          <w:lang w:val="en-US" w:eastAsia="zh-CN"/>
        </w:rPr>
      </w:pPr>
    </w:p>
    <w:p w14:paraId="2E46C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第二节 设计阶段</w:t>
      </w:r>
    </w:p>
    <w:p w14:paraId="15527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第八条 【安全架构设计】</w:t>
      </w:r>
    </w:p>
    <w:p w14:paraId="682759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系统架构师须输出《安全架构设计说明书》，包含：  </w:t>
      </w:r>
    </w:p>
    <w:p w14:paraId="098F5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网络分层图、边界防火墙、微隔离、API网关、零信任控制平面；</w:t>
      </w:r>
    </w:p>
    <w:p w14:paraId="68F22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数据流图与信任边界；</w:t>
      </w:r>
    </w:p>
    <w:p w14:paraId="419116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加密方案（传输TLS1.3、存储国密SM4、密钥管理KMS）；</w:t>
      </w:r>
    </w:p>
    <w:p w14:paraId="7F5EE2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4. 日志与审计方案（统一接入公司SIEM，保留≥180天）；</w:t>
      </w:r>
    </w:p>
    <w:p w14:paraId="1331FC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5. 失效场景与缓解措施（DDoS、RCE、供应链投毒等）。  </w:t>
      </w:r>
    </w:p>
    <w:p w14:paraId="2D6E2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64517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第九条 【威胁建模】  </w:t>
      </w:r>
    </w:p>
    <w:p w14:paraId="3D147E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采用STRIDE或PASTA方法，每季度复评一次，输出《威胁建模报告》及风险处置跟踪表，高危风险关闭率须达100%。  </w:t>
      </w:r>
    </w:p>
    <w:p w14:paraId="678B9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8DE93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第三节 开发与测试阶段</w:t>
      </w:r>
    </w:p>
    <w:p w14:paraId="1B235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第十条 【安全编码规范】  </w:t>
      </w:r>
    </w:p>
    <w:p w14:paraId="65C14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执行《研发安全编码规范V3.0》，强制要求：  </w:t>
      </w:r>
    </w:p>
    <w:p w14:paraId="0C161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输入校验、输出编码、参数化查询、防CSRF令牌； </w:t>
      </w:r>
    </w:p>
    <w:p w14:paraId="08AD00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禁止使用不安全的函数（strcpy、eval等）；</w:t>
      </w:r>
    </w:p>
    <w:p w14:paraId="53BA8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前端须开启CSP、SRI、HSTS；</w:t>
      </w:r>
    </w:p>
    <w:p w14:paraId="33846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4. 后端统一接入公司WAF与API网关。</w:t>
      </w:r>
    </w:p>
    <w:p w14:paraId="30A27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6C390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第十一条 【代码审计】</w:t>
      </w:r>
    </w:p>
    <w:p w14:paraId="5C5EC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自审：开发人员在提交合并请求（MR）前须通过SAST工具扫描，高危漏洞修复率100%；  </w:t>
      </w:r>
    </w:p>
    <w:p w14:paraId="2E5DB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他审：安合规组每月抽取≥20%核心项目做人工审计，出具《代码审计报告》；  </w:t>
      </w:r>
    </w:p>
    <w:p w14:paraId="7E32C9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第三方审计：对关基系统、资金系统每年聘请外部机构审计一次。  </w:t>
      </w:r>
    </w:p>
    <w:p w14:paraId="61AFA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6BBE08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第十二条 【开源及第三方组件管理】  </w:t>
      </w:r>
    </w:p>
    <w:p w14:paraId="6FFFC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只允许从公司私服（Nexus、Harbor）拉取组件，私服每日同步CVE漏洞库；  </w:t>
      </w:r>
    </w:p>
    <w:p w14:paraId="67A4B9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高危组件（CVSS≥7.0）须在24小时内替换或打补丁；  </w:t>
      </w:r>
    </w:p>
    <w:p w14:paraId="7B7F5D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建立SBOM（软件物料清单），版本发布时同步归档。  </w:t>
      </w:r>
    </w:p>
    <w:p w14:paraId="64E1E4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3EB04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第十三条 【测试环境安全】  </w:t>
      </w:r>
    </w:p>
    <w:p w14:paraId="4721A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测试网与生产网物理隔离，禁止共用账号、口令、证书；  </w:t>
      </w:r>
    </w:p>
    <w:p w14:paraId="21503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使用脱敏数据，脱敏算法须不可逆；  </w:t>
      </w:r>
    </w:p>
    <w:p w14:paraId="030F45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测试环境域名统一使用*.test.scyt.com，禁止对外开放公网IP。  </w:t>
      </w:r>
    </w:p>
    <w:p w14:paraId="1D8A95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3B95B1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第四节 上线与验收</w:t>
      </w:r>
    </w:p>
    <w:p w14:paraId="199B51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第十四条 【上线前安全评估】  </w:t>
      </w:r>
    </w:p>
    <w:p w14:paraId="5740A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必须完成“七个一”：  </w:t>
      </w:r>
    </w:p>
    <w:p w14:paraId="2FC708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一次渗透测试（由安合规组或授权第三方执行）；  </w:t>
      </w:r>
    </w:p>
    <w:p w14:paraId="660071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一次基线核查（操作系统、数据库、中间件、容器镜像）；  </w:t>
      </w:r>
    </w:p>
    <w:p w14:paraId="1BC63A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一次漏洞扫描（含Web、主机、容器、配置核查）；  </w:t>
      </w:r>
    </w:p>
    <w:p w14:paraId="072FC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4. 一次权限最小化复核；  </w:t>
      </w:r>
    </w:p>
    <w:p w14:paraId="4E1C7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5. 一次日志接入验证；  </w:t>
      </w:r>
    </w:p>
    <w:p w14:paraId="4A3874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6. 一份《安全验收报告》签字盖章；  </w:t>
      </w:r>
    </w:p>
    <w:p w14:paraId="77B84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7. 一次应急演练（沙盘+实战）。  </w:t>
      </w:r>
    </w:p>
    <w:p w14:paraId="095328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以上任一环节未通过，运维部门拒绝发布。  </w:t>
      </w:r>
    </w:p>
    <w:p w14:paraId="19150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0048DB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第十五条 【上线审批流程】  </w:t>
      </w:r>
    </w:p>
    <w:p w14:paraId="14E53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实行“双签字”制度：项目经理+安合规组负责人同时在《系统上线单》签字，抄送领导小组备案。  </w:t>
      </w:r>
    </w:p>
    <w:p w14:paraId="7E99CC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D0947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第五节 运行与维护</w:t>
      </w:r>
    </w:p>
    <w:p w14:paraId="5762CB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第十六条 【漏洞闭环管理】  </w:t>
      </w:r>
    </w:p>
    <w:p w14:paraId="07AE5B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来源：SRC、国测、集团通报、自建扫描、外部舆情；  </w:t>
      </w:r>
    </w:p>
    <w:p w14:paraId="3D41D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分级：紧急（P0）24h、高危（P1）72h、中危（P2）7天、低危（P3）30天；  </w:t>
      </w:r>
    </w:p>
    <w:p w14:paraId="32C8CA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复测：修复后必须二次验证，未通过立即回退版本。  </w:t>
      </w:r>
    </w:p>
    <w:p w14:paraId="1B2924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15458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第十七条 【变更安全评审】  </w:t>
      </w:r>
    </w:p>
    <w:p w14:paraId="30CEE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所有生产变更须通过ITSM流程，涉及配置、策略、端口、权限的变更须安合规组二次评审。  </w:t>
      </w:r>
    </w:p>
    <w:p w14:paraId="20B2B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4C38AD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第十八条 【数据与备份安全】  </w:t>
      </w:r>
    </w:p>
    <w:p w14:paraId="3CBCB9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核心数据每日增量、每周全量备份，加密后异地存放≥3个月；  </w:t>
      </w:r>
    </w:p>
    <w:p w14:paraId="04336C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备份恢复演练每半年至少1次，RTO≤4h、RPO≤15min；  </w:t>
      </w:r>
    </w:p>
    <w:p w14:paraId="4DCE26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3. 淘汰介质须物理粉碎并留存视频记录。  </w:t>
      </w:r>
    </w:p>
    <w:p w14:paraId="683E47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0B031894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 人员与外包管理</w:t>
      </w:r>
    </w:p>
    <w:p w14:paraId="0A16B1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第十九条 【入职与离职】</w:t>
      </w:r>
    </w:p>
    <w:p w14:paraId="61055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入职签署《保密与安全承诺书》，进行背景调查（含犯罪记录）；</w:t>
      </w:r>
    </w:p>
    <w:p w14:paraId="0AF08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离职当日注销所有账号、VPN、门禁、Git权限，交接清单须安全管理员签字。</w:t>
      </w:r>
    </w:p>
    <w:p w14:paraId="2A9BF0EB">
      <w:pPr>
        <w:pStyle w:val="2"/>
        <w:rPr>
          <w:rFonts w:hint="eastAsia"/>
          <w:lang w:val="en-US" w:eastAsia="zh-CN"/>
        </w:rPr>
      </w:pPr>
    </w:p>
    <w:p w14:paraId="2F430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第二十条 【账号与权限】</w:t>
      </w:r>
    </w:p>
    <w:p w14:paraId="3C8EB4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实行“一人一账号”，禁止共享、借用；</w:t>
      </w:r>
    </w:p>
    <w:p w14:paraId="6AFDB1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开发、测试、生产环境账号分离，运维使用堡垒机+双人授权；</w:t>
      </w:r>
    </w:p>
    <w:p w14:paraId="2071C6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每季度清理僵尸账号，留存清理报告。</w:t>
      </w:r>
    </w:p>
    <w:p w14:paraId="0EBCA26D">
      <w:pPr>
        <w:pStyle w:val="2"/>
        <w:rPr>
          <w:rFonts w:hint="eastAsia"/>
          <w:lang w:val="en-US" w:eastAsia="zh-CN"/>
        </w:rPr>
      </w:pPr>
    </w:p>
    <w:p w14:paraId="2FC1E4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第二十一条 【外包及第三方】  </w:t>
      </w:r>
    </w:p>
    <w:p w14:paraId="26BBF0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1. 外包合同须附带《安全补充协议》，明确违约责任（最高扣款30%）；  </w:t>
      </w:r>
    </w:p>
    <w:p w14:paraId="1D86F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外包人员纳入公司统一身份认证，禁止使用私人电脑接入开发网；</w:t>
      </w:r>
    </w:p>
    <w:p w14:paraId="3A0558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外包代码须在公司内部GitLab实例托管，禁止上传至外部平台。</w:t>
      </w:r>
    </w:p>
    <w:p w14:paraId="484A7656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7BBBC71D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 监测、应急</w:t>
      </w:r>
    </w:p>
    <w:p w14:paraId="7828C7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第二十二条 【安全监测】</w:t>
      </w:r>
    </w:p>
    <w:p w14:paraId="15FD4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接入集团SOC、公司SIEM，7×24小时监测；</w:t>
      </w:r>
    </w:p>
    <w:p w14:paraId="47F1D4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建立“红黄蓝”预警机制：</w:t>
      </w:r>
    </w:p>
    <w:p w14:paraId="4BF7B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 红色（P0）：立即电话通知部门负责人并启动I级响应；</w:t>
      </w:r>
    </w:p>
    <w:p w14:paraId="794FD4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 黄色（P1）：短信+邮件通知安全管理员，2小时内处置；</w:t>
      </w:r>
    </w:p>
    <w:p w14:paraId="66D08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   蓝色（P2/P3）：工单跟踪，24小时内处置。  </w:t>
      </w:r>
    </w:p>
    <w:p w14:paraId="7055322D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627631CC">
      <w:pPr>
        <w:pStyle w:val="5"/>
        <w:rPr>
          <w:rFonts w:hint="eastAsia"/>
          <w:lang w:val="en-US" w:eastAsia="zh-CN"/>
        </w:rPr>
      </w:pPr>
    </w:p>
    <w:p w14:paraId="4C6C95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第二十三条 【应急预案】  </w:t>
      </w:r>
    </w:p>
    <w:p w14:paraId="7AF5A2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制定《研发网络安全事件应急预案》，每年至少演练1次；</w:t>
      </w:r>
    </w:p>
    <w:p w14:paraId="066FA1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2. 事件分级：特别重大、重大、较大、一般，对应报送时限分别为15分钟、30分钟、1小时、2小时；  </w:t>
      </w:r>
    </w:p>
    <w:p w14:paraId="5237E0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事件结束后5个工作日内完成《事件调查报告》及整改措施，领导小组审议后通报全员。</w:t>
      </w:r>
    </w:p>
    <w:p w14:paraId="4C842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0967B9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Style w:val="10"/>
          <w:rFonts w:hint="eastAsia"/>
          <w:lang w:val="en-US" w:eastAsia="zh-CN"/>
        </w:rPr>
        <w:t>第六章 培训与考核</w:t>
      </w:r>
    </w:p>
    <w:p w14:paraId="5262AD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第二十四条 【三级培训】</w:t>
      </w:r>
    </w:p>
    <w:p w14:paraId="0340E9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1. 新员工入职安全培训；</w:t>
      </w:r>
    </w:p>
    <w:p w14:paraId="5EF1B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2. 研发在岗人员年度再培训；</w:t>
      </w:r>
    </w:p>
    <w:p w14:paraId="345374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3. 关键岗位（架构、运维、测试）专项培训。</w:t>
      </w:r>
    </w:p>
    <w:p w14:paraId="410A3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</w:p>
    <w:p w14:paraId="0B738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第二十五条 【安全考核】</w:t>
      </w:r>
    </w:p>
    <w:p w14:paraId="342495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年度安全目标写入部门KPI：漏洞密度下降20%、高危漏洞清零率100%、应急演练响应时间≤30分钟；</w:t>
      </w:r>
    </w:p>
    <w:p w14:paraId="0B34AD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未达成目标的团队，取消年度评优，负责人绩效下降10%。</w:t>
      </w:r>
    </w:p>
    <w:p w14:paraId="38D98901">
      <w:pPr>
        <w:pStyle w:val="2"/>
        <w:rPr>
          <w:rFonts w:hint="eastAsia"/>
          <w:lang w:val="en-US" w:eastAsia="zh-CN"/>
        </w:rPr>
      </w:pPr>
    </w:p>
    <w:p w14:paraId="0D8D098A">
      <w:pPr>
        <w:pStyle w:val="7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 附则</w:t>
      </w:r>
    </w:p>
    <w:p w14:paraId="2AD8F5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第二十六条 【制度解释】  </w:t>
      </w:r>
    </w:p>
    <w:p w14:paraId="5F5DB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本制度由研发网络事业部安全合规与质量组负责解释，每年根据法律法规及集团要求修订一次。</w:t>
      </w:r>
    </w:p>
    <w:p w14:paraId="146F77D3">
      <w:pPr>
        <w:pStyle w:val="2"/>
        <w:rPr>
          <w:rFonts w:hint="eastAsia"/>
          <w:lang w:val="en-US" w:eastAsia="zh-CN"/>
        </w:rPr>
      </w:pPr>
    </w:p>
    <w:p w14:paraId="60D966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40" w:lineRule="exact"/>
        <w:ind w:left="3780" w:leftChars="0" w:firstLine="0" w:firstLineChars="0"/>
        <w:jc w:val="righ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>四川云控交通科技有限责任公司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ab/>
        <w:t/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ab/>
        <w:t xml:space="preserve">研发网络事业部       </w:t>
      </w:r>
    </w:p>
    <w:p w14:paraId="56D3F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40" w:lineRule="exact"/>
        <w:jc w:val="right"/>
        <w:textAlignment w:val="auto"/>
        <w:rPr>
          <w:rFonts w:hint="default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 w:bidi="ar-SA"/>
        </w:rPr>
        <w:t xml:space="preserve">2025年11月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DBE6B"/>
    <w:multiLevelType w:val="singleLevel"/>
    <w:tmpl w:val="9CEDBE6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D2E27"/>
    <w:rsid w:val="118440E5"/>
    <w:rsid w:val="16893F4C"/>
    <w:rsid w:val="2FC55B9D"/>
    <w:rsid w:val="30A54B7D"/>
    <w:rsid w:val="3CBF47D5"/>
    <w:rsid w:val="4953791E"/>
    <w:rsid w:val="6F96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6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7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unhideWhenUsed/>
    <w:qFormat/>
    <w:uiPriority w:val="99"/>
    <w:pPr>
      <w:spacing w:after="120"/>
      <w:ind w:left="420" w:leftChars="200"/>
    </w:pPr>
  </w:style>
  <w:style w:type="paragraph" w:customStyle="1" w:styleId="4">
    <w:name w:val="正文文字 6"/>
    <w:next w:val="1"/>
    <w:qFormat/>
    <w:uiPriority w:val="0"/>
    <w:pPr>
      <w:widowControl w:val="0"/>
      <w:ind w:left="240"/>
      <w:jc w:val="both"/>
    </w:pPr>
    <w:rPr>
      <w:rFonts w:ascii="宋体" w:hAnsi="Times New Roman" w:eastAsia="宋体" w:cs="Times New Roman"/>
      <w:b/>
      <w:bCs/>
      <w:kern w:val="2"/>
      <w:sz w:val="32"/>
      <w:szCs w:val="32"/>
      <w:lang w:val="en-US" w:eastAsia="zh-CN" w:bidi="ar-SA"/>
    </w:rPr>
  </w:style>
  <w:style w:type="paragraph" w:styleId="5">
    <w:name w:val="Body Text"/>
    <w:basedOn w:val="1"/>
    <w:next w:val="1"/>
    <w:qFormat/>
    <w:uiPriority w:val="0"/>
    <w:pPr>
      <w:spacing w:after="120"/>
    </w:pPr>
  </w:style>
  <w:style w:type="character" w:customStyle="1" w:styleId="10">
    <w:name w:val="标题 2 Char"/>
    <w:link w:val="7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2025-11-25T09:21:01Z</dcterms:created>
  <dc:creator>EDY</dc:creator>
  <cp:lastModifiedBy>woo</cp:lastModifiedBy>
  <dcterms:modified xsi:type="dcterms:W3CDTF">2025-11-25T10:37:48Z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eyJoZGlkIjoiNjU3YWZkZjYzZGQ1NTVlZTY4ZjgzZjRiY2U1MDNkNzciLCJ1c2VySWQiOiIzNzMyODYwNzQifQ==</vt:lpwstr>
  </property>
  <property fmtid="{D5CDD505-2E9C-101B-9397-08002B2CF9AE}" pid="4" name="ICV">
    <vt:lpwstr>0C180D8C412E4B25AD3FBD4A5E584A8B_12</vt:lpwstr>
  </property>
</Properties>
</file>