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2026年度战略投资评估报告</w:t>
      </w:r>
    </w:p>
    <w:p>
      <w:r>
        <w:t>文档编号：STR-2026-战略投资</w:t>
      </w:r>
    </w:p>
    <w:p>
      <w:r>
        <w:t>编制部门：战略发展部</w:t>
      </w:r>
    </w:p>
    <w:p>
      <w:r>
        <w:t>密级：内部</w:t>
      </w:r>
    </w:p>
    <w:p>
      <w:r>
        <w:t>______________________________________________________________________</w:t>
      </w:r>
    </w:p>
    <w:p>
      <w:pPr>
        <w:pStyle w:val="Heading1"/>
      </w:pPr>
      <w:r>
        <w:t>一、投资概述</w:t>
      </w:r>
    </w:p>
    <w:p>
      <w:r>
        <w:t>本报告对RAGStudio 2026年度战略投资方向进行综合评估，涵盖技术研发、市场拓展、人才引进和基础设施建设四大维度，预期总投资2亿元，目标实现年营收5.2亿元，3年内达成行业前3的市场地位。</w:t>
      </w:r>
    </w:p>
    <w:p>
      <w:pPr>
        <w:pStyle w:val="Heading1"/>
      </w:pPr>
      <w:r>
        <w:t>二、分季度营收与客户目标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0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quarterl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图3：2026年分季度关键经营指标</w:t>
      </w:r>
    </w:p>
    <w:p>
      <w:pPr>
        <w:pStyle w:val="Heading1"/>
      </w:pPr>
      <w:r>
        <w:t>三、营收结构优化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306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revenue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图4：2026H1营收结构与各业务线增长率</w:t>
      </w:r>
    </w:p>
    <w:p>
      <w:pPr>
        <w:pStyle w:val="Heading1"/>
      </w:pPr>
      <w:r>
        <w:t>四、投资分配方案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投资方向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2026预算(万元)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预期产出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ROI评估</w:t>
            </w:r>
          </w:p>
        </w:tc>
      </w:tr>
      <w:tr>
        <w:tc>
          <w:tcPr>
            <w:tcW w:type="dxa" w:w="1728"/>
          </w:tcPr>
          <w:p>
            <w:r>
              <w:t>AI模型研发</w:t>
            </w:r>
          </w:p>
        </w:tc>
        <w:tc>
          <w:tcPr>
            <w:tcW w:type="dxa" w:w="1728"/>
          </w:tcPr>
          <w:p>
            <w:r>
              <w:t>4,500</w:t>
            </w:r>
          </w:p>
        </w:tc>
        <w:tc>
          <w:tcPr>
            <w:tcW w:type="dxa" w:w="1728"/>
          </w:tcPr>
          <w:p>
            <w:r>
              <w:t>22.5%</w:t>
            </w:r>
          </w:p>
        </w:tc>
        <w:tc>
          <w:tcPr>
            <w:tcW w:type="dxa" w:w="1728"/>
          </w:tcPr>
          <w:p>
            <w:r>
              <w:t>多模态RAG 2.0 + Agent 2.0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产品工程化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15.0%</w:t>
            </w:r>
          </w:p>
        </w:tc>
        <w:tc>
          <w:tcPr>
            <w:tcW w:type="dxa" w:w="1728"/>
          </w:tcPr>
          <w:p>
            <w:r>
              <w:t>私有化部署+高可用架构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市场销售团队</w:t>
            </w:r>
          </w:p>
        </w:tc>
        <w:tc>
          <w:tcPr>
            <w:tcW w:type="dxa" w:w="1728"/>
          </w:tcPr>
          <w:p>
            <w:r>
              <w:t>4,000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  <w:tc>
          <w:tcPr>
            <w:tcW w:type="dxa" w:w="1728"/>
          </w:tcPr>
          <w:p>
            <w:r>
              <w:t>直销30人+渠道30家</w:t>
            </w:r>
          </w:p>
        </w:tc>
        <w:tc>
          <w:tcPr>
            <w:tcW w:type="dxa" w:w="1728"/>
          </w:tcPr>
          <w:p>
            <w:r>
              <w:t>中高</w:t>
            </w:r>
          </w:p>
        </w:tc>
      </w:tr>
      <w:tr>
        <w:tc>
          <w:tcPr>
            <w:tcW w:type="dxa" w:w="1728"/>
          </w:tcPr>
          <w:p>
            <w:r>
              <w:t>品牌与内容营销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品牌知名度提升至55%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人才招聘与保留</w:t>
            </w:r>
          </w:p>
        </w:tc>
        <w:tc>
          <w:tcPr>
            <w:tcW w:type="dxa" w:w="1728"/>
          </w:tcPr>
          <w:p>
            <w:r>
              <w:t>2,500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  <w:tc>
          <w:tcPr>
            <w:tcW w:type="dxa" w:w="1728"/>
          </w:tcPr>
          <w:p>
            <w:r>
              <w:t>团队从120人扩至200人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基础设施(云+GPU)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支撑500并发的GPU集群</w:t>
            </w:r>
          </w:p>
        </w:tc>
        <w:tc>
          <w:tcPr>
            <w:tcW w:type="dxa" w:w="1728"/>
          </w:tcPr>
          <w:p>
            <w:r>
              <w:t>中高</w:t>
            </w:r>
          </w:p>
        </w:tc>
      </w:tr>
      <w:tr>
        <w:tc>
          <w:tcPr>
            <w:tcW w:type="dxa" w:w="1728"/>
          </w:tcPr>
          <w:p>
            <w:r>
              <w:t>行业解决方案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6.0%</w:t>
            </w:r>
          </w:p>
        </w:tc>
        <w:tc>
          <w:tcPr>
            <w:tcW w:type="dxa" w:w="1728"/>
          </w:tcPr>
          <w:p>
            <w:r>
              <w:t>金融+制造+科研3套方案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机动储备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4.0%</w:t>
            </w:r>
          </w:p>
        </w:tc>
        <w:tc>
          <w:tcPr>
            <w:tcW w:type="dxa" w:w="1728"/>
          </w:tcPr>
          <w:p>
            <w:r>
              <w:t>应对不确定性</w:t>
            </w:r>
          </w:p>
        </w:tc>
        <w:tc>
          <w:tcPr>
            <w:tcW w:type="dxa" w:w="1728"/>
          </w:tcPr>
          <w:p>
            <w:r>
              <w:t>--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20,000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--</w:t>
            </w:r>
          </w:p>
        </w:tc>
      </w:tr>
    </w:tbl>
    <w:p/>
    <w:p>
      <w:pPr>
        <w:pStyle w:val="Heading1"/>
      </w:pPr>
      <w:r>
        <w:t>五、投资回报预测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2026年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2027年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2028年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2029年</w:t>
            </w:r>
          </w:p>
        </w:tc>
      </w:tr>
      <w:tr>
        <w:tc>
          <w:tcPr>
            <w:tcW w:type="dxa" w:w="1728"/>
          </w:tcPr>
          <w:p>
            <w:r>
              <w:t>年营收(万元)</w:t>
            </w:r>
          </w:p>
        </w:tc>
        <w:tc>
          <w:tcPr>
            <w:tcW w:type="dxa" w:w="1728"/>
          </w:tcPr>
          <w:p>
            <w:r>
              <w:t>5,200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35,000</w:t>
            </w:r>
          </w:p>
        </w:tc>
        <w:tc>
          <w:tcPr>
            <w:tcW w:type="dxa" w:w="1728"/>
          </w:tcPr>
          <w:p>
            <w:r>
              <w:t>70,000</w:t>
            </w:r>
          </w:p>
        </w:tc>
      </w:tr>
      <w:tr>
        <w:tc>
          <w:tcPr>
            <w:tcW w:type="dxa" w:w="1728"/>
          </w:tcPr>
          <w:p>
            <w:r>
              <w:t>毛利率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72%</w:t>
            </w:r>
          </w:p>
        </w:tc>
        <w:tc>
          <w:tcPr>
            <w:tcW w:type="dxa" w:w="1728"/>
          </w:tcPr>
          <w:p>
            <w:r>
              <w:t>78%</w:t>
            </w:r>
          </w:p>
        </w:tc>
        <w:tc>
          <w:tcPr>
            <w:tcW w:type="dxa" w:w="1728"/>
          </w:tcPr>
          <w:p>
            <w:r>
              <w:t>82%</w:t>
            </w:r>
          </w:p>
        </w:tc>
      </w:tr>
      <w:tr>
        <w:tc>
          <w:tcPr>
            <w:tcW w:type="dxa" w:w="1728"/>
          </w:tcPr>
          <w:p>
            <w:r>
              <w:t>净利润(万元)</w:t>
            </w:r>
          </w:p>
        </w:tc>
        <w:tc>
          <w:tcPr>
            <w:tcW w:type="dxa" w:w="1728"/>
          </w:tcPr>
          <w:p>
            <w:r>
              <w:t>-800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7,000</w:t>
            </w:r>
          </w:p>
        </w:tc>
        <w:tc>
          <w:tcPr>
            <w:tcW w:type="dxa" w:w="1728"/>
          </w:tcPr>
          <w:p>
            <w:r>
              <w:t>21,000</w:t>
            </w:r>
          </w:p>
        </w:tc>
      </w:tr>
      <w:tr>
        <w:tc>
          <w:tcPr>
            <w:tcW w:type="dxa" w:w="1728"/>
          </w:tcPr>
          <w:p>
            <w:r>
              <w:t>净利率</w:t>
            </w:r>
          </w:p>
        </w:tc>
        <w:tc>
          <w:tcPr>
            <w:tcW w:type="dxa" w:w="1728"/>
          </w:tcPr>
          <w:p>
            <w:r>
              <w:t>-15.4%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  <w:tc>
          <w:tcPr>
            <w:tcW w:type="dxa" w:w="1728"/>
          </w:tcPr>
          <w:p>
            <w:r>
              <w:t>30.0%</w:t>
            </w:r>
          </w:p>
        </w:tc>
      </w:tr>
      <w:tr>
        <w:tc>
          <w:tcPr>
            <w:tcW w:type="dxa" w:w="1728"/>
          </w:tcPr>
          <w:p>
            <w:r>
              <w:t>客户数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2,500</w:t>
            </w:r>
          </w:p>
        </w:tc>
      </w:tr>
      <w:tr>
        <w:tc>
          <w:tcPr>
            <w:tcW w:type="dxa" w:w="1728"/>
          </w:tcPr>
          <w:p>
            <w:r>
              <w:t>人效(万元/人/年)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估值(PS法, 10x)</w:t>
            </w:r>
          </w:p>
        </w:tc>
        <w:tc>
          <w:tcPr>
            <w:tcW w:type="dxa" w:w="1728"/>
          </w:tcPr>
          <w:p>
            <w:r>
              <w:t>5.2亿</w:t>
            </w:r>
          </w:p>
        </w:tc>
        <w:tc>
          <w:tcPr>
            <w:tcW w:type="dxa" w:w="1728"/>
          </w:tcPr>
          <w:p>
            <w:r>
              <w:t>15亿</w:t>
            </w:r>
          </w:p>
        </w:tc>
        <w:tc>
          <w:tcPr>
            <w:tcW w:type="dxa" w:w="1728"/>
          </w:tcPr>
          <w:p>
            <w:r>
              <w:t>35亿</w:t>
            </w:r>
          </w:p>
        </w:tc>
        <w:tc>
          <w:tcPr>
            <w:tcW w:type="dxa" w:w="1728"/>
          </w:tcPr>
          <w:p>
            <w:r>
              <w:t>70亿</w:t>
            </w:r>
          </w:p>
        </w:tc>
      </w:tr>
    </w:tbl>
    <w:p/>
    <w:p>
      <w:pPr>
        <w:pStyle w:val="Heading1"/>
      </w:pPr>
      <w:r>
        <w:t>六、战略路线图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28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strategy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图5：2026年战略发展路线图</w:t>
      </w:r>
    </w:p>
    <w:p>
      <w:pPr>
        <w:pStyle w:val="Heading1"/>
      </w:pPr>
      <w:r>
        <w:t>七、投资风险分析</w:t>
      </w:r>
    </w:p>
    <w:p>
      <w:r>
        <w:t>主要投资风险包括：(1)大模型技术路线不确定性，可能使现有RAG架构面临重构风险；(2)宏观经济下行导致企业IT预算收缩；(3)人才市场竞争激烈，关键岗位招聘周期可能超出预期。建议设置季度里程碑评估机制，每季度末对投资方案进行滚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