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2026年H1行业发展趋势与战略机会洞察报告</w:t>
      </w:r>
    </w:p>
    <w:p>
      <w:r>
        <w:t>文档编号：STR-2026-行业发展</w:t>
      </w:r>
    </w:p>
    <w:p>
      <w:r>
        <w:t>编制部门：战略发展部</w:t>
      </w:r>
    </w:p>
    <w:p>
      <w:r>
        <w:t>密级：内部</w:t>
      </w:r>
    </w:p>
    <w:p>
      <w:r>
        <w:t>______________________________________________________________________</w:t>
      </w:r>
    </w:p>
    <w:p>
      <w:pPr>
        <w:pStyle w:val="Heading1"/>
      </w:pPr>
      <w:r>
        <w:t>一、执行摘要</w:t>
      </w:r>
    </w:p>
    <w:p>
      <w:r>
        <w:t>本文档对2026年上半年企业AI知识管理行业的宏观趋势、竞争格局和战略机会进行深度分析。研究发现，行业正处于从'搜索增强'到'智能Agent'的范式转换期，多模态能力和Agent自主决策成为核心竞争力。</w:t>
      </w:r>
    </w:p>
    <w:p>
      <w:pPr>
        <w:pStyle w:val="Heading1"/>
      </w:pPr>
      <w:r>
        <w:t>二、宏观环境分析 (PEST)</w:t>
      </w:r>
    </w:p>
    <w:p>
      <w:pPr>
        <w:pStyle w:val="Heading2"/>
      </w:pPr>
      <w:r>
        <w:t>2.1 政策环境</w:t>
      </w:r>
    </w:p>
    <w:p>
      <w:r>
        <w:t>2026年国家发改委发布《新一代人工智能发展规划(2026-2030)》，将企业智能知识管理列为重点支持方向。工信部配套出台《AI+制造业行动方案》，明确要求到2028年规模以上企业AI应用渗透率达到60%。税收政策方面，符合条件的AI企业可享受15%所得税优惠税率的范围进一步扩大。</w:t>
      </w:r>
    </w:p>
    <w:p>
      <w:pPr>
        <w:pStyle w:val="Heading2"/>
      </w:pPr>
      <w:r>
        <w:t>2.2 经济环境</w:t>
      </w:r>
    </w:p>
    <w:p>
      <w:r>
        <w:t>2026年H1中国GDP增速5.2%，数字经济核心产业增加值同比增长12.8%。企业数字化转型支出持续增长，其中AI相关预算增长37%，首次超过云计算成为企业IT支出最大单项。中小企业SaaS化AI工具市场增长尤为迅速，增速达65%。</w:t>
      </w:r>
    </w:p>
    <w:p>
      <w:pPr>
        <w:pStyle w:val="Heading2"/>
      </w:pPr>
      <w:r>
        <w:t>2.3 社会文化</w:t>
      </w:r>
    </w:p>
    <w:p>
      <w:r>
        <w:t>远程办公常态化导致企业内部知识共享需求井喷。2026年Q1调查显示，73%的企业员工表示'找不到需要的内部信息'是影响工作效率的首要因素。Gen Z员工占比突破30%，对数字化工具有天然的接受度和更高的期望。</w:t>
      </w:r>
    </w:p>
    <w:p>
      <w:pPr>
        <w:pStyle w:val="Heading2"/>
      </w:pPr>
      <w:r>
        <w:t>2.4 技术环境</w:t>
      </w:r>
    </w:p>
    <w:p>
      <w:r>
        <w:t>大模型技术进入精细化落地阶段：RAG(检索增强生成)成为企业LLM落地的首选路径；Agent框架(MCP/A2A)标准化加速；多模态模型成本下降60%；端侧AI推理芯片逐步成熟。</w:t>
      </w:r>
    </w:p>
    <w:p>
      <w:pPr>
        <w:pStyle w:val="Heading1"/>
      </w:pPr>
      <w:r>
        <w:t>三、市场规模与预测</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指标</w:t>
            </w:r>
          </w:p>
        </w:tc>
        <w:tc>
          <w:tcPr>
            <w:tcW w:type="dxa" w:w="1440"/>
          </w:tcPr>
          <w:p>
            <w:r>
              <w:rPr>
                <w:b/>
              </w:rPr>
              <w:t>2024年</w:t>
            </w:r>
          </w:p>
        </w:tc>
        <w:tc>
          <w:tcPr>
            <w:tcW w:type="dxa" w:w="1440"/>
          </w:tcPr>
          <w:p>
            <w:r>
              <w:rPr>
                <w:b/>
              </w:rPr>
              <w:t>2025年</w:t>
            </w:r>
          </w:p>
        </w:tc>
        <w:tc>
          <w:tcPr>
            <w:tcW w:type="dxa" w:w="1440"/>
          </w:tcPr>
          <w:p>
            <w:r>
              <w:rPr>
                <w:b/>
              </w:rPr>
              <w:t>2026年(预)</w:t>
            </w:r>
          </w:p>
        </w:tc>
        <w:tc>
          <w:tcPr>
            <w:tcW w:type="dxa" w:w="1440"/>
          </w:tcPr>
          <w:p>
            <w:r>
              <w:rPr>
                <w:b/>
              </w:rPr>
              <w:t>2027年(预)</w:t>
            </w:r>
          </w:p>
        </w:tc>
        <w:tc>
          <w:tcPr>
            <w:tcW w:type="dxa" w:w="1440"/>
          </w:tcPr>
          <w:p>
            <w:r>
              <w:rPr>
                <w:b/>
              </w:rPr>
              <w:t>CAGR(24-27)</w:t>
            </w:r>
          </w:p>
        </w:tc>
      </w:tr>
      <w:tr>
        <w:tc>
          <w:tcPr>
            <w:tcW w:type="dxa" w:w="1440"/>
          </w:tcPr>
          <w:p>
            <w:r>
              <w:t>市场规模(亿元)</w:t>
            </w:r>
          </w:p>
        </w:tc>
        <w:tc>
          <w:tcPr>
            <w:tcW w:type="dxa" w:w="1440"/>
          </w:tcPr>
          <w:p>
            <w:r>
              <w:t>180</w:t>
            </w:r>
          </w:p>
        </w:tc>
        <w:tc>
          <w:tcPr>
            <w:tcW w:type="dxa" w:w="1440"/>
          </w:tcPr>
          <w:p>
            <w:r>
              <w:t>290</w:t>
            </w:r>
          </w:p>
        </w:tc>
        <w:tc>
          <w:tcPr>
            <w:tcW w:type="dxa" w:w="1440"/>
          </w:tcPr>
          <w:p>
            <w:r>
              <w:t>480</w:t>
            </w:r>
          </w:p>
        </w:tc>
        <w:tc>
          <w:tcPr>
            <w:tcW w:type="dxa" w:w="1440"/>
          </w:tcPr>
          <w:p>
            <w:r>
              <w:t>720</w:t>
            </w:r>
          </w:p>
        </w:tc>
        <w:tc>
          <w:tcPr>
            <w:tcW w:type="dxa" w:w="1440"/>
          </w:tcPr>
          <w:p>
            <w:r>
              <w:t>58.7%</w:t>
            </w:r>
          </w:p>
        </w:tc>
      </w:tr>
      <w:tr>
        <w:tc>
          <w:tcPr>
            <w:tcW w:type="dxa" w:w="1440"/>
          </w:tcPr>
          <w:p>
            <w:r>
              <w:t>RAG子市场(亿元)</w:t>
            </w:r>
          </w:p>
        </w:tc>
        <w:tc>
          <w:tcPr>
            <w:tcW w:type="dxa" w:w="1440"/>
          </w:tcPr>
          <w:p>
            <w:r>
              <w:t>35</w:t>
            </w:r>
          </w:p>
        </w:tc>
        <w:tc>
          <w:tcPr>
            <w:tcW w:type="dxa" w:w="1440"/>
          </w:tcPr>
          <w:p>
            <w:r>
              <w:t>72</w:t>
            </w:r>
          </w:p>
        </w:tc>
        <w:tc>
          <w:tcPr>
            <w:tcW w:type="dxa" w:w="1440"/>
          </w:tcPr>
          <w:p>
            <w:r>
              <w:t>150</w:t>
            </w:r>
          </w:p>
        </w:tc>
        <w:tc>
          <w:tcPr>
            <w:tcW w:type="dxa" w:w="1440"/>
          </w:tcPr>
          <w:p>
            <w:r>
              <w:t>280</w:t>
            </w:r>
          </w:p>
        </w:tc>
        <w:tc>
          <w:tcPr>
            <w:tcW w:type="dxa" w:w="1440"/>
          </w:tcPr>
          <w:p>
            <w:r>
              <w:t>100%</w:t>
            </w:r>
          </w:p>
        </w:tc>
      </w:tr>
      <w:tr>
        <w:tc>
          <w:tcPr>
            <w:tcW w:type="dxa" w:w="1440"/>
          </w:tcPr>
          <w:p>
            <w:r>
              <w:t>企业付费客户数(万)</w:t>
            </w:r>
          </w:p>
        </w:tc>
        <w:tc>
          <w:tcPr>
            <w:tcW w:type="dxa" w:w="1440"/>
          </w:tcPr>
          <w:p>
            <w:r>
              <w:t>0.8</w:t>
            </w:r>
          </w:p>
        </w:tc>
        <w:tc>
          <w:tcPr>
            <w:tcW w:type="dxa" w:w="1440"/>
          </w:tcPr>
          <w:p>
            <w:r>
              <w:t>1.8</w:t>
            </w:r>
          </w:p>
        </w:tc>
        <w:tc>
          <w:tcPr>
            <w:tcW w:type="dxa" w:w="1440"/>
          </w:tcPr>
          <w:p>
            <w:r>
              <w:t>4.2</w:t>
            </w:r>
          </w:p>
        </w:tc>
        <w:tc>
          <w:tcPr>
            <w:tcW w:type="dxa" w:w="1440"/>
          </w:tcPr>
          <w:p>
            <w:r>
              <w:t>8.5</w:t>
            </w:r>
          </w:p>
        </w:tc>
        <w:tc>
          <w:tcPr>
            <w:tcW w:type="dxa" w:w="1440"/>
          </w:tcPr>
          <w:p>
            <w:r>
              <w:t>119%</w:t>
            </w:r>
          </w:p>
        </w:tc>
      </w:tr>
      <w:tr>
        <w:tc>
          <w:tcPr>
            <w:tcW w:type="dxa" w:w="1440"/>
          </w:tcPr>
          <w:p>
            <w:r>
              <w:t>平均客单价(万/年)</w:t>
            </w:r>
          </w:p>
        </w:tc>
        <w:tc>
          <w:tcPr>
            <w:tcW w:type="dxa" w:w="1440"/>
          </w:tcPr>
          <w:p>
            <w:r>
              <w:t>15</w:t>
            </w:r>
          </w:p>
        </w:tc>
        <w:tc>
          <w:tcPr>
            <w:tcW w:type="dxa" w:w="1440"/>
          </w:tcPr>
          <w:p>
            <w:r>
              <w:t>18</w:t>
            </w:r>
          </w:p>
        </w:tc>
        <w:tc>
          <w:tcPr>
            <w:tcW w:type="dxa" w:w="1440"/>
          </w:tcPr>
          <w:p>
            <w:r>
              <w:t>22</w:t>
            </w:r>
          </w:p>
        </w:tc>
        <w:tc>
          <w:tcPr>
            <w:tcW w:type="dxa" w:w="1440"/>
          </w:tcPr>
          <w:p>
            <w:r>
              <w:t>28</w:t>
            </w:r>
          </w:p>
        </w:tc>
        <w:tc>
          <w:tcPr>
            <w:tcW w:type="dxa" w:w="1440"/>
          </w:tcPr>
          <w:p>
            <w:r>
              <w:t>23.1%</w:t>
            </w:r>
          </w:p>
        </w:tc>
      </w:tr>
      <w:tr>
        <w:tc>
          <w:tcPr>
            <w:tcW w:type="dxa" w:w="1440"/>
          </w:tcPr>
          <w:p>
            <w:r>
              <w:t>头部集中度(CR5)</w:t>
            </w:r>
          </w:p>
        </w:tc>
        <w:tc>
          <w:tcPr>
            <w:tcW w:type="dxa" w:w="1440"/>
          </w:tcPr>
          <w:p>
            <w:r>
              <w:t>65%</w:t>
            </w:r>
          </w:p>
        </w:tc>
        <w:tc>
          <w:tcPr>
            <w:tcW w:type="dxa" w:w="1440"/>
          </w:tcPr>
          <w:p>
            <w:r>
              <w:t>58%</w:t>
            </w:r>
          </w:p>
        </w:tc>
        <w:tc>
          <w:tcPr>
            <w:tcW w:type="dxa" w:w="1440"/>
          </w:tcPr>
          <w:p>
            <w:r>
              <w:t>50%</w:t>
            </w:r>
          </w:p>
        </w:tc>
        <w:tc>
          <w:tcPr>
            <w:tcW w:type="dxa" w:w="1440"/>
          </w:tcPr>
          <w:p>
            <w:r>
              <w:t>42%</w:t>
            </w:r>
          </w:p>
        </w:tc>
        <w:tc>
          <w:tcPr>
            <w:tcW w:type="dxa" w:w="1440"/>
          </w:tcPr>
          <w:p>
            <w:r>
              <w:t>--</w:t>
            </w:r>
          </w:p>
        </w:tc>
      </w:tr>
    </w:tbl>
    <w:p/>
    <w:p>
      <w:pPr>
        <w:jc w:val="center"/>
      </w:pPr>
      <w:r>
        <w:drawing>
          <wp:inline xmlns:a="http://schemas.openxmlformats.org/drawingml/2006/main" xmlns:pic="http://schemas.openxmlformats.org/drawingml/2006/picture">
            <wp:extent cx="5029200" cy="2741660"/>
            <wp:docPr id="1" name="Picture 1"/>
            <wp:cNvGraphicFramePr>
              <a:graphicFrameLocks noChangeAspect="1"/>
            </wp:cNvGraphicFramePr>
            <a:graphic>
              <a:graphicData uri="http://schemas.openxmlformats.org/drawingml/2006/picture">
                <pic:pic>
                  <pic:nvPicPr>
                    <pic:cNvPr id="0" name="_tmp_revenue_trend.png"/>
                    <pic:cNvPicPr/>
                  </pic:nvPicPr>
                  <pic:blipFill>
                    <a:blip r:embed="rId9"/>
                    <a:stretch>
                      <a:fillRect/>
                    </a:stretch>
                  </pic:blipFill>
                  <pic:spPr>
                    <a:xfrm>
                      <a:off x="0" y="0"/>
                      <a:ext cx="5029200" cy="2741660"/>
                    </a:xfrm>
                    <a:prstGeom prst="rect"/>
                  </pic:spPr>
                </pic:pic>
              </a:graphicData>
            </a:graphic>
          </wp:inline>
        </w:drawing>
      </w:r>
    </w:p>
    <w:p>
      <w:pPr>
        <w:jc w:val="center"/>
      </w:pPr>
      <w:r>
        <w:rPr>
          <w:color w:val="646464"/>
          <w:sz w:val="18"/>
        </w:rPr>
        <w:t>图1：2025-2026年月度营收趋势对比</w:t>
      </w:r>
    </w:p>
    <w:p>
      <w:pPr>
        <w:pStyle w:val="Heading1"/>
      </w:pPr>
      <w:r>
        <w:t>四、竞争格局分析</w:t>
      </w:r>
    </w:p>
    <w:p>
      <w:pPr>
        <w:jc w:val="center"/>
      </w:pPr>
      <w:r>
        <w:drawing>
          <wp:inline xmlns:a="http://schemas.openxmlformats.org/drawingml/2006/main" xmlns:pic="http://schemas.openxmlformats.org/drawingml/2006/picture">
            <wp:extent cx="5029200" cy="2487488"/>
            <wp:docPr id="2" name="Picture 2"/>
            <wp:cNvGraphicFramePr>
              <a:graphicFrameLocks noChangeAspect="1"/>
            </wp:cNvGraphicFramePr>
            <a:graphic>
              <a:graphicData uri="http://schemas.openxmlformats.org/drawingml/2006/picture">
                <pic:pic>
                  <pic:nvPicPr>
                    <pic:cNvPr id="0" name="_tmp_market_share.png"/>
                    <pic:cNvPicPr/>
                  </pic:nvPicPr>
                  <pic:blipFill>
                    <a:blip r:embed="rId10"/>
                    <a:stretch>
                      <a:fillRect/>
                    </a:stretch>
                  </pic:blipFill>
                  <pic:spPr>
                    <a:xfrm>
                      <a:off x="0" y="0"/>
                      <a:ext cx="5029200" cy="2487488"/>
                    </a:xfrm>
                    <a:prstGeom prst="rect"/>
                  </pic:spPr>
                </pic:pic>
              </a:graphicData>
            </a:graphic>
          </wp:inline>
        </w:drawing>
      </w:r>
    </w:p>
    <w:p>
      <w:pPr>
        <w:jc w:val="center"/>
      </w:pPr>
      <w:r>
        <w:rPr>
          <w:color w:val="646464"/>
          <w:sz w:val="18"/>
        </w:rPr>
        <w:t>图2：企业AI知识管理市场份额对比</w:t>
      </w:r>
    </w:p>
    <w:p>
      <w:pPr>
        <w:pStyle w:val="Heading1"/>
      </w:pPr>
      <w:r>
        <w:t>五、战略机会识别</w:t>
      </w:r>
    </w:p>
    <w:p>
      <w:pPr>
        <w:pStyle w:val="Heading2"/>
      </w:pPr>
      <w:r>
        <w:t>5.1 机会一：行业垂直解决方案</w:t>
      </w:r>
    </w:p>
    <w:p>
      <w:r>
        <w:t>金融和制造业对合规性要求极高，通用RAG平台难以满足行业特殊需求。建议重点打造金融合规知识库和制造业标准作业流程两套行业解决方案包，预计可贡献2026年30%新增营收。目标客户以中大型银行为切入，逐步拓展到保险、证券、城商行等。</w:t>
      </w:r>
    </w:p>
    <w:p>
      <w:pPr>
        <w:pStyle w:val="Heading2"/>
      </w:pPr>
      <w:r>
        <w:t>5.2 机会二：多模态文档理解</w:t>
      </w:r>
    </w:p>
    <w:p>
      <w:r>
        <w:t>83%的企业文档包含非文本信息(图片、表格、公式、图表)。当前市场上能完整处理多模态文档的RAG产品不足15%。RAGStudio已经具备多模态文档解析管线(图片提取+表格识别+公式提取)，是核心差异化优势。</w:t>
      </w:r>
    </w:p>
    <w:p>
      <w:pPr>
        <w:pStyle w:val="Heading2"/>
      </w:pPr>
      <w:r>
        <w:t>5.3 机会三：Agent生态平台</w:t>
      </w:r>
    </w:p>
    <w:p>
      <w:r>
        <w:t>MCP协议和A2A协议的标准化将催生Agent应用商店模式。RAGStudio的SKILL自定义工具系统和MCP集成能力使其天然具有成为Agent生态平台的潜力。早期入驻开发者可获得先发优势。</w:t>
      </w:r>
    </w:p>
    <w:p>
      <w:pPr>
        <w:pStyle w:val="Heading1"/>
      </w:pPr>
      <w:r>
        <w:t>六、风险与对策</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风险类型</w:t>
            </w:r>
          </w:p>
        </w:tc>
        <w:tc>
          <w:tcPr>
            <w:tcW w:type="dxa" w:w="1728"/>
          </w:tcPr>
          <w:p>
            <w:r>
              <w:rPr>
                <w:b/>
              </w:rPr>
              <w:t>具体描述</w:t>
            </w:r>
          </w:p>
        </w:tc>
        <w:tc>
          <w:tcPr>
            <w:tcW w:type="dxa" w:w="1728"/>
          </w:tcPr>
          <w:p>
            <w:r>
              <w:rPr>
                <w:b/>
              </w:rPr>
              <w:t>可能性</w:t>
            </w:r>
          </w:p>
        </w:tc>
        <w:tc>
          <w:tcPr>
            <w:tcW w:type="dxa" w:w="1728"/>
          </w:tcPr>
          <w:p>
            <w:r>
              <w:rPr>
                <w:b/>
              </w:rPr>
              <w:t>影响度</w:t>
            </w:r>
          </w:p>
        </w:tc>
        <w:tc>
          <w:tcPr>
            <w:tcW w:type="dxa" w:w="1728"/>
          </w:tcPr>
          <w:p>
            <w:r>
              <w:rPr>
                <w:b/>
              </w:rPr>
              <w:t>应对措施</w:t>
            </w:r>
          </w:p>
        </w:tc>
      </w:tr>
      <w:tr>
        <w:tc>
          <w:tcPr>
            <w:tcW w:type="dxa" w:w="1728"/>
          </w:tcPr>
          <w:p>
            <w:r>
              <w:t>市场风险</w:t>
            </w:r>
          </w:p>
        </w:tc>
        <w:tc>
          <w:tcPr>
            <w:tcW w:type="dxa" w:w="1728"/>
          </w:tcPr>
          <w:p>
            <w:r>
              <w:t>大厂免费策略冲击市场定价</w:t>
            </w:r>
          </w:p>
        </w:tc>
        <w:tc>
          <w:tcPr>
            <w:tcW w:type="dxa" w:w="1728"/>
          </w:tcPr>
          <w:p>
            <w:r>
              <w:t>高</w:t>
            </w:r>
          </w:p>
        </w:tc>
        <w:tc>
          <w:tcPr>
            <w:tcW w:type="dxa" w:w="1728"/>
          </w:tcPr>
          <w:p>
            <w:r>
              <w:t>中</w:t>
            </w:r>
          </w:p>
        </w:tc>
        <w:tc>
          <w:tcPr>
            <w:tcW w:type="dxa" w:w="1728"/>
          </w:tcPr>
          <w:p>
            <w:r>
              <w:t>差异化技术壁垒+行业纵深</w:t>
            </w:r>
          </w:p>
        </w:tc>
      </w:tr>
      <w:tr>
        <w:tc>
          <w:tcPr>
            <w:tcW w:type="dxa" w:w="1728"/>
          </w:tcPr>
          <w:p>
            <w:r>
              <w:t>技术风险</w:t>
            </w:r>
          </w:p>
        </w:tc>
        <w:tc>
          <w:tcPr>
            <w:tcW w:type="dxa" w:w="1728"/>
          </w:tcPr>
          <w:p>
            <w:r>
              <w:t>开源框架快速成熟替代商业产品</w:t>
            </w:r>
          </w:p>
        </w:tc>
        <w:tc>
          <w:tcPr>
            <w:tcW w:type="dxa" w:w="1728"/>
          </w:tcPr>
          <w:p>
            <w:r>
              <w:t>中</w:t>
            </w:r>
          </w:p>
        </w:tc>
        <w:tc>
          <w:tcPr>
            <w:tcW w:type="dxa" w:w="1728"/>
          </w:tcPr>
          <w:p>
            <w:r>
              <w:t>高</w:t>
            </w:r>
          </w:p>
        </w:tc>
        <w:tc>
          <w:tcPr>
            <w:tcW w:type="dxa" w:w="1728"/>
          </w:tcPr>
          <w:p>
            <w:r>
              <w:t>保持6个月技术领先+开源社区贡献</w:t>
            </w:r>
          </w:p>
        </w:tc>
      </w:tr>
      <w:tr>
        <w:tc>
          <w:tcPr>
            <w:tcW w:type="dxa" w:w="1728"/>
          </w:tcPr>
          <w:p>
            <w:r>
              <w:t>人才风险</w:t>
            </w:r>
          </w:p>
        </w:tc>
        <w:tc>
          <w:tcPr>
            <w:tcW w:type="dxa" w:w="1728"/>
          </w:tcPr>
          <w:p>
            <w:r>
              <w:t>AI人才竞争白热化导致成本飙升</w:t>
            </w:r>
          </w:p>
        </w:tc>
        <w:tc>
          <w:tcPr>
            <w:tcW w:type="dxa" w:w="1728"/>
          </w:tcPr>
          <w:p>
            <w:r>
              <w:t>高</w:t>
            </w:r>
          </w:p>
        </w:tc>
        <w:tc>
          <w:tcPr>
            <w:tcW w:type="dxa" w:w="1728"/>
          </w:tcPr>
          <w:p>
            <w:r>
              <w:t>高</w:t>
            </w:r>
          </w:p>
        </w:tc>
        <w:tc>
          <w:tcPr>
            <w:tcW w:type="dxa" w:w="1728"/>
          </w:tcPr>
          <w:p>
            <w:r>
              <w:t>股权激励+远程团队+毕业生培养</w:t>
            </w:r>
          </w:p>
        </w:tc>
      </w:tr>
      <w:tr>
        <w:tc>
          <w:tcPr>
            <w:tcW w:type="dxa" w:w="1728"/>
          </w:tcPr>
          <w:p>
            <w:r>
              <w:t>合规风险</w:t>
            </w:r>
          </w:p>
        </w:tc>
        <w:tc>
          <w:tcPr>
            <w:tcW w:type="dxa" w:w="1728"/>
          </w:tcPr>
          <w:p>
            <w:r>
              <w:t>AI监管法规趋严</w:t>
            </w:r>
          </w:p>
        </w:tc>
        <w:tc>
          <w:tcPr>
            <w:tcW w:type="dxa" w:w="1728"/>
          </w:tcPr>
          <w:p>
            <w:r>
              <w:t>中</w:t>
            </w:r>
          </w:p>
        </w:tc>
        <w:tc>
          <w:tcPr>
            <w:tcW w:type="dxa" w:w="1728"/>
          </w:tcPr>
          <w:p>
            <w:r>
              <w:t>中</w:t>
            </w:r>
          </w:p>
        </w:tc>
        <w:tc>
          <w:tcPr>
            <w:tcW w:type="dxa" w:w="1728"/>
          </w:tcPr>
          <w:p>
            <w:r>
              <w:t>提前布局合规审查+参与标准制定</w:t>
            </w:r>
          </w:p>
        </w:tc>
      </w:tr>
      <w:tr>
        <w:tc>
          <w:tcPr>
            <w:tcW w:type="dxa" w:w="1728"/>
          </w:tcPr>
          <w:p>
            <w:r>
              <w:t>竞争风险</w:t>
            </w:r>
          </w:p>
        </w:tc>
        <w:tc>
          <w:tcPr>
            <w:tcW w:type="dxa" w:w="1728"/>
          </w:tcPr>
          <w:p>
            <w:r>
              <w:t>竞品融资后价格战</w:t>
            </w:r>
          </w:p>
        </w:tc>
        <w:tc>
          <w:tcPr>
            <w:tcW w:type="dxa" w:w="1728"/>
          </w:tcPr>
          <w:p>
            <w:r>
              <w:t>中</w:t>
            </w:r>
          </w:p>
        </w:tc>
        <w:tc>
          <w:tcPr>
            <w:tcW w:type="dxa" w:w="1728"/>
          </w:tcPr>
          <w:p>
            <w:r>
              <w:t>高</w:t>
            </w:r>
          </w:p>
        </w:tc>
        <w:tc>
          <w:tcPr>
            <w:tcW w:type="dxa" w:w="1728"/>
          </w:tcPr>
          <w:p>
            <w:r>
              <w:t>客户粘性+私有化部署锁定+生态绑定</w:t>
            </w:r>
          </w:p>
        </w:tc>
      </w:tr>
    </w:tbl>
    <w:p/>
    <w:p>
      <w:pPr>
        <w:pStyle w:val="Heading1"/>
      </w:pPr>
      <w:r>
        <w:t>七、关键成功因素</w:t>
      </w:r>
    </w:p>
    <w:p>
      <w:r>
        <w:t>1. 技术领先：保持多模态RAG和Agent能力6个月以上的技术领先优势。</w:t>
      </w:r>
    </w:p>
    <w:p>
      <w:r>
        <w:t>2. 客户深耕：前100家付费客户中打造20+深度标杆案例，形成行业示范效应。</w:t>
      </w:r>
    </w:p>
    <w:p>
      <w:r>
        <w:t>3. 人才密度：技术团队中硕士以上学历不低于60%，核心AI人才年流失率低于10%。</w:t>
      </w:r>
    </w:p>
    <w:p>
      <w:r>
        <w:t>4. 资本效率：单位经济模型(Unit Economics)在Q3实现正毛利，Q4实现正向现金流。</w:t>
      </w:r>
    </w:p>
    <w:p>
      <w:r>
        <w:t>5. 生态协同：与3家以上头部大模型厂商、5家以上ISV建立战略级合作关系。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