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Presentation scripts</w:t>
      </w:r>
    </w:p>
    <w:p>
      <w:pPr>
        <w:spacing w:after="280"/>
      </w:pPr>
      <w:r>
        <w:rPr>
          <w:b w:val="0"/>
          <w:i/>
          <w:color w:val="6B5A72"/>
          <w:sz w:val="28"/>
        </w:rPr>
        <w:t>Early Detection of Alzheimer's from MRI and Handwriting</w:t>
      </w:r>
    </w:p>
    <w:p>
      <w:pPr>
        <w:spacing w:after="80"/>
      </w:pPr>
      <w:r>
        <w:rPr>
          <w:b/>
          <w:i w:val="0"/>
          <w:color w:val="3B2A44"/>
          <w:sz w:val="28"/>
        </w:rPr>
        <w:t>Speaking order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5B3A6B"/>
          </w:tcPr>
          <w:p>
            <w:r/>
            <w:r>
              <w:rPr>
                <w:b/>
                <w:color w:val="FFFFFF"/>
              </w:rPr>
              <w:t>#</w:t>
            </w:r>
          </w:p>
        </w:tc>
        <w:tc>
          <w:tcPr>
            <w:tcW w:type="dxa" w:w="1872"/>
            <w:shd w:val="clear" w:color="auto" w:fill="5B3A6B"/>
          </w:tcPr>
          <w:p>
            <w:r/>
            <w:r>
              <w:rPr>
                <w:b/>
                <w:color w:val="FFFFFF"/>
              </w:rPr>
              <w:t>Presenter</w:t>
            </w:r>
          </w:p>
        </w:tc>
        <w:tc>
          <w:tcPr>
            <w:tcW w:type="dxa" w:w="1872"/>
            <w:shd w:val="clear" w:color="auto" w:fill="5B3A6B"/>
          </w:tcPr>
          <w:p>
            <w:r/>
            <w:r>
              <w:rPr>
                <w:b/>
                <w:color w:val="FFFFFF"/>
              </w:rPr>
              <w:t>Topic</w:t>
            </w:r>
          </w:p>
        </w:tc>
        <w:tc>
          <w:tcPr>
            <w:tcW w:type="dxa" w:w="1872"/>
            <w:shd w:val="clear" w:color="auto" w:fill="5B3A6B"/>
          </w:tcPr>
          <w:p>
            <w:r/>
            <w:r>
              <w:rPr>
                <w:b/>
                <w:color w:val="FFFFFF"/>
              </w:rPr>
              <w:t>Slides</w:t>
            </w:r>
          </w:p>
        </w:tc>
        <w:tc>
          <w:tcPr>
            <w:tcW w:type="dxa" w:w="1872"/>
            <w:shd w:val="clear" w:color="auto" w:fill="5B3A6B"/>
          </w:tcPr>
          <w:p>
            <w:r/>
            <w:r>
              <w:rPr>
                <w:b/>
                <w:color w:val="FFFFFF"/>
              </w:rPr>
              <w:t>About</w:t>
            </w:r>
          </w:p>
        </w:tc>
      </w:tr>
      <w:tr>
        <w:tc>
          <w:tcPr>
            <w:tcW w:type="dxa" w:w="1872"/>
          </w:tcPr>
          <w:p>
            <w:r>
              <w:rPr>
                <w:sz w:val="22"/>
              </w:rPr>
              <w:t>1</w:t>
            </w:r>
          </w:p>
        </w:tc>
        <w:tc>
          <w:tcPr>
            <w:tcW w:type="dxa" w:w="1872"/>
          </w:tcPr>
          <w:p>
            <w:r>
              <w:rPr>
                <w:sz w:val="22"/>
              </w:rPr>
              <w:t>Malhar Srivatsav</w:t>
            </w:r>
          </w:p>
        </w:tc>
        <w:tc>
          <w:tcPr>
            <w:tcW w:type="dxa" w:w="1872"/>
          </w:tcPr>
          <w:p>
            <w:r>
              <w:rPr>
                <w:sz w:val="22"/>
              </w:rPr>
              <w:t>Problem and system overview</w:t>
            </w:r>
          </w:p>
        </w:tc>
        <w:tc>
          <w:tcPr>
            <w:tcW w:type="dxa" w:w="1872"/>
          </w:tcPr>
          <w:p>
            <w:r>
              <w:rPr>
                <w:sz w:val="22"/>
              </w:rPr>
              <w:t>3–4 (+1, 2)</w:t>
            </w:r>
          </w:p>
        </w:tc>
        <w:tc>
          <w:tcPr>
            <w:tcW w:type="dxa" w:w="1872"/>
          </w:tcPr>
          <w:p>
            <w:r>
              <w:rPr>
                <w:sz w:val="22"/>
              </w:rPr>
              <w:t>2:50 min</w:t>
            </w:r>
          </w:p>
        </w:tc>
      </w:tr>
      <w:tr>
        <w:tc>
          <w:tcPr>
            <w:tcW w:type="dxa" w:w="1872"/>
            <w:shd w:val="clear" w:color="auto" w:fill="F1ECF4"/>
          </w:tcPr>
          <w:p>
            <w:r>
              <w:rPr>
                <w:sz w:val="22"/>
              </w:rPr>
              <w:t>2</w:t>
            </w:r>
          </w:p>
        </w:tc>
        <w:tc>
          <w:tcPr>
            <w:tcW w:type="dxa" w:w="1872"/>
            <w:shd w:val="clear" w:color="auto" w:fill="F1ECF4"/>
          </w:tcPr>
          <w:p>
            <w:r>
              <w:rPr>
                <w:sz w:val="22"/>
              </w:rPr>
              <w:t>Sathwik Hejamady Bhat</w:t>
            </w:r>
          </w:p>
        </w:tc>
        <w:tc>
          <w:tcPr>
            <w:tcW w:type="dxa" w:w="1872"/>
            <w:shd w:val="clear" w:color="auto" w:fill="F1ECF4"/>
          </w:tcPr>
          <w:p>
            <w:r>
              <w:rPr>
                <w:sz w:val="22"/>
              </w:rPr>
              <w:t>Data, imputation and balancing</w:t>
            </w:r>
          </w:p>
        </w:tc>
        <w:tc>
          <w:tcPr>
            <w:tcW w:type="dxa" w:w="1872"/>
            <w:shd w:val="clear" w:color="auto" w:fill="F1ECF4"/>
          </w:tcPr>
          <w:p>
            <w:r>
              <w:rPr>
                <w:sz w:val="22"/>
              </w:rPr>
              <w:t>5–6</w:t>
            </w:r>
          </w:p>
        </w:tc>
        <w:tc>
          <w:tcPr>
            <w:tcW w:type="dxa" w:w="1872"/>
            <w:shd w:val="clear" w:color="auto" w:fill="F1ECF4"/>
          </w:tcPr>
          <w:p>
            <w:r>
              <w:rPr>
                <w:sz w:val="22"/>
              </w:rPr>
              <w:t>2:00 min</w:t>
            </w:r>
          </w:p>
        </w:tc>
      </w:tr>
      <w:tr>
        <w:tc>
          <w:tcPr>
            <w:tcW w:type="dxa" w:w="1872"/>
          </w:tcPr>
          <w:p>
            <w:r>
              <w:rPr>
                <w:sz w:val="22"/>
              </w:rPr>
              <w:t>3</w:t>
            </w:r>
          </w:p>
        </w:tc>
        <w:tc>
          <w:tcPr>
            <w:tcW w:type="dxa" w:w="1872"/>
          </w:tcPr>
          <w:p>
            <w:r>
              <w:rPr>
                <w:sz w:val="22"/>
              </w:rPr>
              <w:t>Harit Raval</w:t>
            </w:r>
          </w:p>
        </w:tc>
        <w:tc>
          <w:tcPr>
            <w:tcW w:type="dxa" w:w="1872"/>
          </w:tcPr>
          <w:p>
            <w:r>
              <w:rPr>
                <w:sz w:val="22"/>
              </w:rPr>
              <w:t>The MRI model</w:t>
            </w:r>
          </w:p>
        </w:tc>
        <w:tc>
          <w:tcPr>
            <w:tcW w:type="dxa" w:w="1872"/>
          </w:tcPr>
          <w:p>
            <w:r>
              <w:rPr>
                <w:sz w:val="22"/>
              </w:rPr>
              <w:t>7–8</w:t>
            </w:r>
          </w:p>
        </w:tc>
        <w:tc>
          <w:tcPr>
            <w:tcW w:type="dxa" w:w="1872"/>
          </w:tcPr>
          <w:p>
            <w:r>
              <w:rPr>
                <w:sz w:val="22"/>
              </w:rPr>
              <w:t>2:00 min</w:t>
            </w:r>
          </w:p>
        </w:tc>
      </w:tr>
      <w:tr>
        <w:tc>
          <w:tcPr>
            <w:tcW w:type="dxa" w:w="1872"/>
            <w:shd w:val="clear" w:color="auto" w:fill="F1ECF4"/>
          </w:tcPr>
          <w:p>
            <w:r>
              <w:rPr>
                <w:sz w:val="22"/>
              </w:rPr>
              <w:t>4</w:t>
            </w:r>
          </w:p>
        </w:tc>
        <w:tc>
          <w:tcPr>
            <w:tcW w:type="dxa" w:w="1872"/>
            <w:shd w:val="clear" w:color="auto" w:fill="F1ECF4"/>
          </w:tcPr>
          <w:p>
            <w:r>
              <w:rPr>
                <w:sz w:val="22"/>
              </w:rPr>
              <w:t>Shreya Jain</w:t>
            </w:r>
          </w:p>
        </w:tc>
        <w:tc>
          <w:tcPr>
            <w:tcW w:type="dxa" w:w="1872"/>
            <w:shd w:val="clear" w:color="auto" w:fill="F1ECF4"/>
          </w:tcPr>
          <w:p>
            <w:r>
              <w:rPr>
                <w:sz w:val="22"/>
              </w:rPr>
              <w:t>MRI results and benchmarks</w:t>
            </w:r>
          </w:p>
        </w:tc>
        <w:tc>
          <w:tcPr>
            <w:tcW w:type="dxa" w:w="1872"/>
            <w:shd w:val="clear" w:color="auto" w:fill="F1ECF4"/>
          </w:tcPr>
          <w:p>
            <w:r>
              <w:rPr>
                <w:sz w:val="22"/>
              </w:rPr>
              <w:t>9–10</w:t>
            </w:r>
          </w:p>
        </w:tc>
        <w:tc>
          <w:tcPr>
            <w:tcW w:type="dxa" w:w="1872"/>
            <w:shd w:val="clear" w:color="auto" w:fill="F1ECF4"/>
          </w:tcPr>
          <w:p>
            <w:r>
              <w:rPr>
                <w:sz w:val="22"/>
              </w:rPr>
              <w:t>1:50 min</w:t>
            </w:r>
          </w:p>
        </w:tc>
      </w:tr>
      <w:tr>
        <w:tc>
          <w:tcPr>
            <w:tcW w:type="dxa" w:w="1872"/>
          </w:tcPr>
          <w:p>
            <w:r>
              <w:rPr>
                <w:sz w:val="22"/>
              </w:rPr>
              <w:t>5</w:t>
            </w:r>
          </w:p>
        </w:tc>
        <w:tc>
          <w:tcPr>
            <w:tcW w:type="dxa" w:w="1872"/>
          </w:tcPr>
          <w:p>
            <w:r>
              <w:rPr>
                <w:sz w:val="22"/>
              </w:rPr>
              <w:t>Taneesha Rajiv Prasad</w:t>
            </w:r>
          </w:p>
        </w:tc>
        <w:tc>
          <w:tcPr>
            <w:tcW w:type="dxa" w:w="1872"/>
          </w:tcPr>
          <w:p>
            <w:r>
              <w:rPr>
                <w:sz w:val="22"/>
              </w:rPr>
              <w:t>Explainability and robustness</w:t>
            </w:r>
          </w:p>
        </w:tc>
        <w:tc>
          <w:tcPr>
            <w:tcW w:type="dxa" w:w="1872"/>
          </w:tcPr>
          <w:p>
            <w:r>
              <w:rPr>
                <w:sz w:val="22"/>
              </w:rPr>
              <w:t>11–12</w:t>
            </w:r>
          </w:p>
        </w:tc>
        <w:tc>
          <w:tcPr>
            <w:tcW w:type="dxa" w:w="1872"/>
          </w:tcPr>
          <w:p>
            <w:r>
              <w:rPr>
                <w:sz w:val="22"/>
              </w:rPr>
              <w:t>2:00 min</w:t>
            </w:r>
          </w:p>
        </w:tc>
      </w:tr>
      <w:tr>
        <w:tc>
          <w:tcPr>
            <w:tcW w:type="dxa" w:w="1872"/>
            <w:shd w:val="clear" w:color="auto" w:fill="F1ECF4"/>
          </w:tcPr>
          <w:p>
            <w:r>
              <w:rPr>
                <w:sz w:val="22"/>
              </w:rPr>
              <w:t>6</w:t>
            </w:r>
          </w:p>
        </w:tc>
        <w:tc>
          <w:tcPr>
            <w:tcW w:type="dxa" w:w="1872"/>
            <w:shd w:val="clear" w:color="auto" w:fill="F1ECF4"/>
          </w:tcPr>
          <w:p>
            <w:r>
              <w:rPr>
                <w:sz w:val="22"/>
              </w:rPr>
              <w:t>Nithyashree Hebbar</w:t>
            </w:r>
          </w:p>
        </w:tc>
        <w:tc>
          <w:tcPr>
            <w:tcW w:type="dxa" w:w="1872"/>
            <w:shd w:val="clear" w:color="auto" w:fill="F1ECF4"/>
          </w:tcPr>
          <w:p>
            <w:r>
              <w:rPr>
                <w:sz w:val="22"/>
              </w:rPr>
              <w:t>The handwriting module</w:t>
            </w:r>
          </w:p>
        </w:tc>
        <w:tc>
          <w:tcPr>
            <w:tcW w:type="dxa" w:w="1872"/>
            <w:shd w:val="clear" w:color="auto" w:fill="F1ECF4"/>
          </w:tcPr>
          <w:p>
            <w:r>
              <w:rPr>
                <w:sz w:val="22"/>
              </w:rPr>
              <w:t>13–14</w:t>
            </w:r>
          </w:p>
        </w:tc>
        <w:tc>
          <w:tcPr>
            <w:tcW w:type="dxa" w:w="1872"/>
            <w:shd w:val="clear" w:color="auto" w:fill="F1ECF4"/>
          </w:tcPr>
          <w:p>
            <w:r>
              <w:rPr>
                <w:sz w:val="22"/>
              </w:rPr>
              <w:t>2:00 min</w:t>
            </w:r>
          </w:p>
        </w:tc>
      </w:tr>
      <w:tr>
        <w:tc>
          <w:tcPr>
            <w:tcW w:type="dxa" w:w="1872"/>
          </w:tcPr>
          <w:p>
            <w:r>
              <w:rPr>
                <w:sz w:val="22"/>
              </w:rPr>
              <w:t>7</w:t>
            </w:r>
          </w:p>
        </w:tc>
        <w:tc>
          <w:tcPr>
            <w:tcW w:type="dxa" w:w="1872"/>
          </w:tcPr>
          <w:p>
            <w:r>
              <w:rPr>
                <w:sz w:val="22"/>
              </w:rPr>
              <w:t>Arshi Garg</w:t>
            </w:r>
          </w:p>
        </w:tc>
        <w:tc>
          <w:tcPr>
            <w:tcW w:type="dxa" w:w="1872"/>
          </w:tcPr>
          <w:p>
            <w:r>
              <w:rPr>
                <w:sz w:val="22"/>
              </w:rPr>
              <w:t>Performance, limits and next steps</w:t>
            </w:r>
          </w:p>
        </w:tc>
        <w:tc>
          <w:tcPr>
            <w:tcW w:type="dxa" w:w="1872"/>
          </w:tcPr>
          <w:p>
            <w:r>
              <w:rPr>
                <w:sz w:val="22"/>
              </w:rPr>
              <w:t>15–16</w:t>
            </w:r>
          </w:p>
        </w:tc>
        <w:tc>
          <w:tcPr>
            <w:tcW w:type="dxa" w:w="1872"/>
          </w:tcPr>
          <w:p>
            <w:r>
              <w:rPr>
                <w:sz w:val="22"/>
              </w:rPr>
              <w:t>1:50 min</w:t>
            </w:r>
          </w:p>
        </w:tc>
      </w:tr>
    </w:tbl>
    <w:p/>
    <w:p>
      <w:pPr>
        <w:spacing w:after="80"/>
      </w:pPr>
      <w:r>
        <w:rPr>
          <w:b/>
          <w:i w:val="0"/>
          <w:color w:val="3B2A44"/>
          <w:sz w:val="28"/>
        </w:rPr>
        <w:t>How to use this document</w:t>
      </w:r>
    </w:p>
    <w:p>
      <w:pPr>
        <w:pStyle w:val="ListBullet"/>
      </w:pPr>
      <w:r>
        <w:t>Each script is written to be spoken, not read: short sentences, one idea at a time. Put it in your own words once you know it.</w:t>
      </w:r>
    </w:p>
    <w:p>
      <w:pPr>
        <w:pStyle w:val="ListBullet"/>
      </w:pPr>
      <w:r>
        <w:t>Timing assumes about 140 words per minute, so each person speaks for roughly two minutes. The same text is in the speaker notes of the matching slides.</w:t>
      </w:r>
    </w:p>
    <w:p>
      <w:pPr>
        <w:pStyle w:val="ListBullet"/>
      </w:pPr>
      <w:r>
        <w:t>Every script ends by handing over to the next person by name. Keep those hand-offs; they make the talk feel like one story.</w:t>
      </w:r>
    </w:p>
    <w:p>
      <w:pPr>
        <w:pStyle w:val="ListBullet"/>
      </w:pPr>
      <w:r>
        <w:t>Say the synthetic-data point in your own voice if you can: all data are synthetic, so the numbers describe the pipeline, not patients.</w:t>
      </w:r>
    </w:p>
    <w:p>
      <w:pPr>
        <w:pStyle w:val="ListBullet"/>
      </w:pPr>
      <w:r>
        <w:t>If you are asked something outside your part, name the teammate who covered it.</w:t>
      </w:r>
    </w:p>
    <w:p>
      <w:r>
        <w:br w:type="page"/>
      </w:r>
    </w:p>
    <w:p>
      <w:pPr>
        <w:pStyle w:val="Heading1"/>
      </w:pPr>
      <w:r>
        <w:t>1. Malhar Srivatsav</w:t>
      </w:r>
    </w:p>
    <w:p>
      <w:pPr>
        <w:spacing w:after="200"/>
      </w:pPr>
      <w:r>
        <w:rPr>
          <w:b w:val="0"/>
          <w:i/>
          <w:color w:val="6B5A72"/>
        </w:rPr>
        <w:t>Problem and system overview   ·   slides 3–4  (plus the opening on slides 1–2)   ·   about 2.8 minutes (398 words)</w:t>
      </w:r>
    </w:p>
    <w:p>
      <w:pPr>
        <w:pStyle w:val="Heading2"/>
      </w:pPr>
      <w:r>
        <w:t>Slide 1: Early Detection of Alzheimer's from MRI and Handwriting</w:t>
      </w:r>
    </w:p>
    <w:p>
      <w:r>
        <w:rPr>
          <w:b w:val="0"/>
          <w:i w:val="0"/>
        </w:rPr>
        <w:t>Good morning everyone. We are presenting an explainable prototype for the early detection of Alzheimer's disease, using two signals: MRI scans and handwriting. Before we start, one sentence that frames everything: all of our data is synthetic, so what we show you is how the system works and how it behaves, not how it would perform on patients.</w:t>
      </w:r>
    </w:p>
    <w:p>
      <w:pPr>
        <w:pStyle w:val="Heading2"/>
      </w:pPr>
      <w:r>
        <w:t>Slide 2: Who is presenting what</w:t>
      </w:r>
    </w:p>
    <w:p>
      <w:r>
        <w:rPr>
          <w:b w:val="0"/>
          <w:i w:val="0"/>
        </w:rPr>
        <w:t>There are seven of us, and each person covers one part of the project, in pipeline order. I will explain the problem and how the system fits together. Sathwik covers the data, Harit the MRI model, Shreya the results, Taneesha the explanations and robustness, Nithyashree the handwriting module, and Arshi finishes with performance, limits and next steps. We will finish with a short live demo and questions.</w:t>
      </w:r>
    </w:p>
    <w:p>
      <w:pPr>
        <w:pStyle w:val="Heading2"/>
      </w:pPr>
      <w:r>
        <w:t>Slide 3: Early detection needs evidence you can check</w:t>
      </w:r>
    </w:p>
    <w:p>
      <w:r>
        <w:rPr>
          <w:b w:val="0"/>
          <w:i w:val="0"/>
        </w:rPr>
        <w:t>Hi everyone, I'm Malhar, and I'll start with why we built this. Alzheimer's does not arrive overnight. It moves through stages: normal cognition, early mild cognitive impairment, late mild cognitive impairment, and then Alzheimer's disease. The earlier we can see that shift, the more options a patient has. But there are three problems. First, the early changes in an MRI are subtle: slightly larger ventricles, slightly thinner cortex. Second, a model that only outputs a label gives a doctor nothing to check. And third, real clinical data is messy. Records have gaps, and most people in a cohort are healthy, so a lazy model can look accurate while missing the people who are ill. Our project answers each of those. A VGG19 network classifies the stage. Grad-CAM shows where it looked, and an automatic check flags a suspicious explanation. A cleaning pipeline handles missing values and class imbalance. And we added a second, cheap signal: handwriting.</w:t>
      </w:r>
    </w:p>
    <w:p>
      <w:pPr>
        <w:pStyle w:val="Heading2"/>
      </w:pPr>
      <w:r>
        <w:t>Slide 4: One app, two signals, every answer explained</w:t>
      </w:r>
    </w:p>
    <w:p>
      <w:r>
        <w:rPr>
          <w:b w:val="0"/>
          <w:i w:val="0"/>
        </w:rPr>
        <w:t>Here is how it fits together. The browser talks to one FastAPI service. Behind it sit two analyzers. The MRI predictor returns stage probabilities plus a Grad-CAM map, and the handwriting analyzer scores a spiral drawing from the pen's motion. On the right is the real prototype, running. One important point before we go on: all of our data is synthetic. The MRI slices are generated phantoms, not real scans, and the drawings are simulated. So every number you will hear tells you that the pipeline works and how it behaves, not that it detects disease in patients. We state that in the paper and we will keep stating it today. Next, Sathwik will explain the data.</w:t>
      </w:r>
    </w:p>
    <w:tbl>
      <w:tblPr>
        <w:tblStyle w:val="TableGrid"/>
        <w:tblW w:type="auto" w:w="0"/>
        <w:tblLook w:firstColumn="1" w:firstRow="1" w:lastColumn="0" w:lastRow="0" w:noHBand="0" w:noVBand="1" w:val="04A0"/>
      </w:tblPr>
      <w:tblGrid>
        <w:gridCol w:w="9360"/>
      </w:tblGrid>
      <w:tr>
        <w:tc>
          <w:tcPr>
            <w:tcW w:type="dxa" w:w="9360"/>
            <w:shd w:val="clear" w:color="auto" w:fill="F1ECF4"/>
          </w:tcPr>
          <w:p>
            <w:r/>
            <w:r>
              <w:rPr>
                <w:b/>
              </w:rPr>
              <w:t xml:space="preserve">Your cue to hand over: </w:t>
            </w:r>
            <w:r>
              <w:t>finish by naming Sathwik.</w:t>
            </w:r>
          </w:p>
        </w:tc>
      </w:tr>
    </w:tbl>
    <w:p>
      <w:r>
        <w:br w:type="page"/>
      </w:r>
    </w:p>
    <w:p>
      <w:pPr>
        <w:pStyle w:val="Heading1"/>
      </w:pPr>
      <w:r>
        <w:t>2. Sathwik Hejamady Bhat</w:t>
      </w:r>
    </w:p>
    <w:p>
      <w:pPr>
        <w:spacing w:after="200"/>
      </w:pPr>
      <w:r>
        <w:rPr>
          <w:b w:val="0"/>
          <w:i/>
          <w:color w:val="6B5A72"/>
        </w:rPr>
        <w:t>Data, imputation and balancing   ·   slides 5–6   ·   about 2.0 minutes (281 words)</w:t>
      </w:r>
    </w:p>
    <w:p>
      <w:pPr>
        <w:pStyle w:val="Heading2"/>
      </w:pPr>
      <w:r>
        <w:t>Slide 5: Why we generate our own data</w:t>
      </w:r>
    </w:p>
    <w:p>
      <w:r>
        <w:rPr>
          <w:b w:val="0"/>
          <w:i w:val="0"/>
        </w:rPr>
        <w:t>Thanks, Malhar. I'm Sathwik, and I'll cover the data. Getting real ADNI scans needs an application that takes weeks, so we built a generator. It draws axial phantoms where, as the stage advances, the ventricles get bigger, the cortex gets thinner and the hippocampus shrinks. You can see the four stages on the left. Alongside the images it generates a clinical table: age, MMSE, CDR, ADAS-Cog, hippocampal volume, APOE4 and CSF amyloid. Two realistic problems are built in. The classes are imbalanced, about three point two to one, with healthy controls the biggest group, as the chart shows. And values go missing more often in the later stages, which is exactly what happens in real records. If you simply delete incomplete rows, you throw away the sickest patients first.</w:t>
      </w:r>
    </w:p>
    <w:p>
      <w:pPr>
        <w:pStyle w:val="Heading2"/>
      </w:pPr>
      <w:r>
        <w:t>Slide 6: Hot-deck kept the spread; ADASYN did not help</w:t>
      </w:r>
    </w:p>
    <w:p>
      <w:r>
        <w:rPr>
          <w:b w:val="0"/>
          <w:i w:val="0"/>
        </w:rPr>
        <w:t>So we handle this in two steps. First, hot-deck imputation. Every gap is filled with a real value copied from a similar complete patient, chosen among the five nearest, and from the same stage during training. We tested it by hiding twenty percent of known values and scoring the guesses. Mean imputation destroys the spread of the data. Its variance ratio is zero, and it fills Alzheimer's patients with a hippocampal volume far too large. Hot-deck keeps the variance at about one. The trade-off is that each individual guess is a little noisier. Second, ADASYN, which creates synthetic minority records. It balances the classes exactly, but when we tested it downstream over thirty splits the macro F1 did not change in any meaningful way: minus 0.002, with a spread bigger than that. So we report it as correctly implemented, but not proven useful on this data. Harit will take it from here.</w:t>
      </w:r>
    </w:p>
    <w:tbl>
      <w:tblPr>
        <w:tblStyle w:val="TableGrid"/>
        <w:tblW w:type="auto" w:w="0"/>
        <w:tblLook w:firstColumn="1" w:firstRow="1" w:lastColumn="0" w:lastRow="0" w:noHBand="0" w:noVBand="1" w:val="04A0"/>
      </w:tblPr>
      <w:tblGrid>
        <w:gridCol w:w="9360"/>
      </w:tblGrid>
      <w:tr>
        <w:tc>
          <w:tcPr>
            <w:tcW w:type="dxa" w:w="9360"/>
            <w:shd w:val="clear" w:color="auto" w:fill="F1ECF4"/>
          </w:tcPr>
          <w:p>
            <w:r/>
            <w:r>
              <w:rPr>
                <w:b/>
              </w:rPr>
              <w:t xml:space="preserve">Your cue to hand over: </w:t>
            </w:r>
            <w:r>
              <w:t>finish by naming Harit.</w:t>
            </w:r>
          </w:p>
        </w:tc>
      </w:tr>
    </w:tbl>
    <w:p>
      <w:r>
        <w:br w:type="page"/>
      </w:r>
    </w:p>
    <w:p>
      <w:pPr>
        <w:pStyle w:val="Heading1"/>
      </w:pPr>
      <w:r>
        <w:t>3. Harit Raval</w:t>
      </w:r>
    </w:p>
    <w:p>
      <w:pPr>
        <w:spacing w:after="200"/>
      </w:pPr>
      <w:r>
        <w:rPr>
          <w:b w:val="0"/>
          <w:i/>
          <w:color w:val="6B5A72"/>
        </w:rPr>
        <w:t>The MRI model   ·   slides 7–8   ·   about 1.9 minutes (270 words)</w:t>
      </w:r>
    </w:p>
    <w:p>
      <w:pPr>
        <w:pStyle w:val="Heading2"/>
      </w:pPr>
      <w:r>
        <w:t>Slide 7: A pretrained VGG19, fine-tuned where it matters</w:t>
      </w:r>
    </w:p>
    <w:p>
      <w:r>
        <w:rPr>
          <w:b w:val="0"/>
          <w:i w:val="0"/>
        </w:rPr>
        <w:t>Thanks, Sathwik. I'm Harit, and I'll explain the MRI model. We did not train a network from scratch, because with a few hundred slices that is hopeless. Instead we use VGG19, pretrained on ImageNet, and keep its early layers frozen, because edges and textures are useful for any image, including the way enlarged ventricles look. We unfreeze only the last convolutional block so it can adapt to MRI texture, and we replace the old thousand-class head with a small new one: down to 512, then 256, then four outputs, one per stage, with dropout in between. In total the network has 33 million parameters, of which 22.4 million are trainable. We also swap the in-place activations for normal ones. It is a small detail, but Grad-CAM has to read those values, and in-place layers overwrite them.</w:t>
      </w:r>
    </w:p>
    <w:p>
      <w:pPr>
        <w:pStyle w:val="Heading2"/>
      </w:pPr>
      <w:r>
        <w:t>Slide 8: How it was trained, and what we evaluated</w:t>
      </w:r>
    </w:p>
    <w:p>
      <w:r>
        <w:rPr>
          <w:b w:val="0"/>
          <w:i w:val="0"/>
        </w:rPr>
        <w:t>For training we used AdamW with a learning rate ten times higher for the new head than for the backbone, so the head converges without damaging the pretrained filters. The loss uses label smoothing and weights that favour the rare stages, and we pick the checkpoint by validation macro F1, not accuracy, because accuracy rewards a model that ignores Alzheimer's. Early stopping watches the same metric. Now an honest point about the checkpoint we evaluated. It was selected at the very first epoch, with a validation macro F1 of exactly one. That tells us the validation set is saturated, because synthetic phantoms are easy, so model selection carried almost no information. And we did not retrain it: every result you will see comes from running the released checkpoint. Shreya will show what it does.</w:t>
      </w:r>
    </w:p>
    <w:tbl>
      <w:tblPr>
        <w:tblStyle w:val="TableGrid"/>
        <w:tblW w:type="auto" w:w="0"/>
        <w:tblLook w:firstColumn="1" w:firstRow="1" w:lastColumn="0" w:lastRow="0" w:noHBand="0" w:noVBand="1" w:val="04A0"/>
      </w:tblPr>
      <w:tblGrid>
        <w:gridCol w:w="9360"/>
      </w:tblGrid>
      <w:tr>
        <w:tc>
          <w:tcPr>
            <w:tcW w:type="dxa" w:w="9360"/>
            <w:shd w:val="clear" w:color="auto" w:fill="F1ECF4"/>
          </w:tcPr>
          <w:p>
            <w:r/>
            <w:r>
              <w:rPr>
                <w:b/>
              </w:rPr>
              <w:t xml:space="preserve">Your cue to hand over: </w:t>
            </w:r>
            <w:r>
              <w:t>finish by naming Shreya.</w:t>
            </w:r>
          </w:p>
        </w:tc>
      </w:tr>
    </w:tbl>
    <w:p>
      <w:r>
        <w:br w:type="page"/>
      </w:r>
    </w:p>
    <w:p>
      <w:pPr>
        <w:pStyle w:val="Heading1"/>
      </w:pPr>
      <w:r>
        <w:t>4. Shreya Jain</w:t>
      </w:r>
    </w:p>
    <w:p>
      <w:pPr>
        <w:spacing w:after="200"/>
      </w:pPr>
      <w:r>
        <w:rPr>
          <w:b w:val="0"/>
          <w:i/>
          <w:color w:val="6B5A72"/>
        </w:rPr>
        <w:t>MRI results and benchmarks   ·   slides 9–10   ·   about 1.8 minutes (258 words)</w:t>
      </w:r>
    </w:p>
    <w:p>
      <w:pPr>
        <w:pStyle w:val="Heading2"/>
      </w:pPr>
      <w:r>
        <w:t>Slide 9: Reproduced exactly, then tested on fresh data</w:t>
      </w:r>
    </w:p>
    <w:p>
      <w:r>
        <w:rPr>
          <w:b w:val="0"/>
          <w:i w:val="0"/>
        </w:rPr>
        <w:t>Thanks, Harit. I'm Shreya, and I'll go through the benchmarks. The first question: can we trust the numbers the project already reported? We regenerated the original cohort, applied the same split, and ran the released checkpoint. We got 95.35 percent accuracy, a macro F1 of 0.9653, and a confusion matrix identical to the one in the documentation, so it reproduces exactly. But that test set is only 43 slices. So we generated three fresh cohorts the model had never seen, 1,065 slices in total, and got 97.8 percent accuracy and a macro F1 of 0.978, with a 95 percent confidence interval from 0.968 to 0.986. Every seed lands between 97.5 and 98.6 percent. So the original figure was a small-sample estimate, not a lucky result.</w:t>
      </w:r>
    </w:p>
    <w:p>
      <w:pPr>
        <w:pStyle w:val="Heading2"/>
      </w:pPr>
      <w:r>
        <w:t>Slide 10: Every error is between neighbouring stages</w:t>
      </w:r>
    </w:p>
    <w:p>
      <w:r>
        <w:rPr>
          <w:b w:val="0"/>
          <w:i w:val="0"/>
        </w:rPr>
        <w:t>Where does it go wrong? Of the 23 errors, every single one is between neighbouring stages. The model never confuses normal with Alzheimer's directly. The weakest class is early MCI: 14 of those slices are read as late MCI and 5 as normal. That matters because our screening metric, early-detection recall, is 0.992: five of 615 impaired slices were called normal. We also measured calibration and found something unusual. The model is underconfident. On one cohort the accuracy is 98.6 percent, but the average confidence is 91.8 percent. And the confidence is still informative: about 0.92 when it is right and 0.74 when it is wrong. So the model is cautious, not overconfident, although we have not investigated why. Now Taneesha will show how we check what the model is actually looking at.</w:t>
      </w:r>
    </w:p>
    <w:tbl>
      <w:tblPr>
        <w:tblStyle w:val="TableGrid"/>
        <w:tblW w:type="auto" w:w="0"/>
        <w:tblLook w:firstColumn="1" w:firstRow="1" w:lastColumn="0" w:lastRow="0" w:noHBand="0" w:noVBand="1" w:val="04A0"/>
      </w:tblPr>
      <w:tblGrid>
        <w:gridCol w:w="9360"/>
      </w:tblGrid>
      <w:tr>
        <w:tc>
          <w:tcPr>
            <w:tcW w:type="dxa" w:w="9360"/>
            <w:shd w:val="clear" w:color="auto" w:fill="F1ECF4"/>
          </w:tcPr>
          <w:p>
            <w:r/>
            <w:r>
              <w:rPr>
                <w:b/>
              </w:rPr>
              <w:t xml:space="preserve">Your cue to hand over: </w:t>
            </w:r>
            <w:r>
              <w:t>finish by naming Taneesha.</w:t>
            </w:r>
          </w:p>
        </w:tc>
      </w:tr>
    </w:tbl>
    <w:p>
      <w:r>
        <w:br w:type="page"/>
      </w:r>
    </w:p>
    <w:p>
      <w:pPr>
        <w:pStyle w:val="Heading1"/>
      </w:pPr>
      <w:r>
        <w:t>5. Taneesha Rajiv Prasad</w:t>
      </w:r>
    </w:p>
    <w:p>
      <w:pPr>
        <w:spacing w:after="200"/>
      </w:pPr>
      <w:r>
        <w:rPr>
          <w:b w:val="0"/>
          <w:i/>
          <w:color w:val="6B5A72"/>
        </w:rPr>
        <w:t>Explainability and robustness   ·   slides 11–12   ·   about 2.1 minutes (289 words)</w:t>
      </w:r>
    </w:p>
    <w:p>
      <w:pPr>
        <w:pStyle w:val="Heading2"/>
      </w:pPr>
      <w:r>
        <w:t>Slide 11: Explanations you can check, not just trust</w:t>
      </w:r>
    </w:p>
    <w:p>
      <w:r>
        <w:rPr>
          <w:b w:val="0"/>
          <w:i w:val="0"/>
        </w:rPr>
        <w:t>Thanks, Shreya. I'm Taneesha, and I'll cover explainability. A label alone invites trust; a picture invites checking. For every scan we compute a Grad-CAM map. We take the gradient of the predicted stage's score with respect to the last convolutional layer and use it to weight the feature maps, so warm regions are the ones that pushed the score up. In the interface you drag a slider to wipe between the scan and the map. You can also ask a counterfactual. On this healthy scan we asked what would make it Alzheimer's, and the map is almost entirely cold: the model finds no evidence. On top of that we built an attention audit. It measures how much of the map falls in the central half of the frame, where brain tissue is, and flags the prediction if that drops below forty percent.</w:t>
      </w:r>
    </w:p>
    <w:p>
      <w:pPr>
        <w:pStyle w:val="Heading2"/>
      </w:pPr>
      <w:r>
        <w:t>Slide 12: Clean-data scores do not survive degraded images</w:t>
      </w:r>
    </w:p>
    <w:p>
      <w:r>
        <w:rPr>
          <w:b w:val="0"/>
          <w:i w:val="0"/>
        </w:rPr>
        <w:t>Now the part we think it is most important to be honest about. On 710 slices the audit never fired, the lowest central share was 0.587, and it did not separate right predictions from wrong ones. On clean phantoms it is a sanity check, not a detector. And when we degraded the images, performance dropped fast. Noise at 0.10 took macro F1 from 0.987 to 0.648, and blur and JPEG compression took it to around 0.81 to 0.82. Brightness and contrast shifts barely change macro F1 but cut early-detection recall to about 0.89, so impaired scans are read as normal, which is the costly direction. Here is a real miss from the prototype: a true early-MCI slice predicted normal with 78 percent confidence. The lesson is that a score on clean synthetic data says very little about messy real acquisitions. Nithyashree will now introduce our second signal.</w:t>
      </w:r>
    </w:p>
    <w:tbl>
      <w:tblPr>
        <w:tblStyle w:val="TableGrid"/>
        <w:tblW w:type="auto" w:w="0"/>
        <w:tblLook w:firstColumn="1" w:firstRow="1" w:lastColumn="0" w:lastRow="0" w:noHBand="0" w:noVBand="1" w:val="04A0"/>
      </w:tblPr>
      <w:tblGrid>
        <w:gridCol w:w="9360"/>
      </w:tblGrid>
      <w:tr>
        <w:tc>
          <w:tcPr>
            <w:tcW w:type="dxa" w:w="9360"/>
            <w:shd w:val="clear" w:color="auto" w:fill="F1ECF4"/>
          </w:tcPr>
          <w:p>
            <w:r/>
            <w:r>
              <w:rPr>
                <w:b/>
              </w:rPr>
              <w:t xml:space="preserve">Your cue to hand over: </w:t>
            </w:r>
            <w:r>
              <w:t>finish by naming Nithyashree.</w:t>
            </w:r>
          </w:p>
        </w:tc>
      </w:tr>
    </w:tbl>
    <w:p>
      <w:r>
        <w:br w:type="page"/>
      </w:r>
    </w:p>
    <w:p>
      <w:pPr>
        <w:pStyle w:val="Heading1"/>
      </w:pPr>
      <w:r>
        <w:t>6. Nithyashree Hebbar</w:t>
      </w:r>
    </w:p>
    <w:p>
      <w:pPr>
        <w:spacing w:after="200"/>
      </w:pPr>
      <w:r>
        <w:rPr>
          <w:b w:val="0"/>
          <w:i/>
          <w:color w:val="6B5A72"/>
        </w:rPr>
        <w:t>The handwriting module   ·   slides 13–14   ·   about 2.0 minutes (285 words)</w:t>
      </w:r>
    </w:p>
    <w:p>
      <w:pPr>
        <w:pStyle w:val="Heading2"/>
      </w:pPr>
      <w:r>
        <w:t>Slide 13: Handwriting: the pen's motion, not the picture</w:t>
      </w:r>
    </w:p>
    <w:p>
      <w:r>
        <w:rPr>
          <w:b w:val="0"/>
          <w:i w:val="0"/>
        </w:rPr>
        <w:t>Thanks, Taneesha. I'm Nithyashree, and I'll present the handwriting module. Studies report that people with cognitive decline draw more slowly, with more hesitation, more time with the pen lifted, and a wobblier line. So we built a spiral-drawing test. In the browser you draw a spiral outward from the centre, and we record every pen point with its timestamp. The screenshot on the left is a live drawing. From the trace we compute nine measurements: drawing time, pen speed, how variable the speed is, stalled time, pen-up time, speed peaks, tremor in the four-to-twelve hertz band, spiral irregularity and drawing size. All lengths are measured relative to the canvas, so screen size does not matter. A mouse or a finger gives no pressure data, so that is a limitation compared with a tablet.</w:t>
      </w:r>
    </w:p>
    <w:p>
      <w:pPr>
        <w:pStyle w:val="Heading2"/>
      </w:pPr>
      <w:r>
        <w:t>Slide 14: An interpretable score, with one big caveat</w:t>
      </w:r>
    </w:p>
    <w:p>
      <w:r>
        <w:rPr>
          <w:b w:val="0"/>
          <w:i w:val="0"/>
        </w:rPr>
        <w:t>The classifier is deliberately simple: a logistic regression. That means every prediction splits exactly into per-feature contributions. The bar chart in the screenshot shows what pushed the score up or down, and the drawing is coloured by speed, so stalls and stop-start motion are visible. On 600 held-out drawings it reaches an AUC of 0.962 and about 89 percent accuracy. Now the caveat, and it is a big one: there is no real handwriting data in our repository, so the model was trained on drawings from a simulator that we wrote. It learned our assumptions. We also stress-tested it. Dropping samples, timestamp jitter and cutting the drawing short barely matter, but heavy coordinate noise breaks the decision threshold. Accuracy falls to 65 percent at four pixels of noise while the AUC stays at 0.93. So the ranking holds, but the cut-off does not. Arshi will wrap up with performance and next steps.</w:t>
      </w:r>
    </w:p>
    <w:tbl>
      <w:tblPr>
        <w:tblStyle w:val="TableGrid"/>
        <w:tblW w:type="auto" w:w="0"/>
        <w:tblLook w:firstColumn="1" w:firstRow="1" w:lastColumn="0" w:lastRow="0" w:noHBand="0" w:noVBand="1" w:val="04A0"/>
      </w:tblPr>
      <w:tblGrid>
        <w:gridCol w:w="9360"/>
      </w:tblGrid>
      <w:tr>
        <w:tc>
          <w:tcPr>
            <w:tcW w:type="dxa" w:w="9360"/>
            <w:shd w:val="clear" w:color="auto" w:fill="F1ECF4"/>
          </w:tcPr>
          <w:p>
            <w:r/>
            <w:r>
              <w:rPr>
                <w:b/>
              </w:rPr>
              <w:t xml:space="preserve">Your cue to hand over: </w:t>
            </w:r>
            <w:r>
              <w:t>finish by naming Arshi.</w:t>
            </w:r>
          </w:p>
        </w:tc>
      </w:tr>
    </w:tbl>
    <w:p>
      <w:r>
        <w:br w:type="page"/>
      </w:r>
    </w:p>
    <w:p>
      <w:pPr>
        <w:pStyle w:val="Heading1"/>
      </w:pPr>
      <w:r>
        <w:t>7. Arshi Garg</w:t>
      </w:r>
    </w:p>
    <w:p>
      <w:pPr>
        <w:spacing w:after="200"/>
      </w:pPr>
      <w:r>
        <w:rPr>
          <w:b w:val="0"/>
          <w:i/>
          <w:color w:val="6B5A72"/>
        </w:rPr>
        <w:t>Performance, limits and next steps   ·   slides 15–16   ·   about 1.9 minutes (262 words)</w:t>
      </w:r>
    </w:p>
    <w:p>
      <w:pPr>
        <w:pStyle w:val="Heading2"/>
      </w:pPr>
      <w:r>
        <w:t>Slide 15: Responsive on four CPU cores, with one bottleneck</w:t>
      </w:r>
    </w:p>
    <w:p>
      <w:r>
        <w:rPr>
          <w:b w:val="0"/>
          <w:i w:val="0"/>
        </w:rPr>
        <w:t>Thanks, Nithyashree. I'm Arshi, and I'll finish with performance, limits and next steps. We measured everything on four CPU cores with no GPU. The handwriting score takes about 10 milliseconds. An MRI prediction takes 111 milliseconds, and adding the Grad-CAM explanation takes 293, because of the extra backward pass. Over HTTP the overhead is tiny. There is one honest bottleneck: throughput did not increase with more clients. It stays at about 9 predictions or 3.6 explanations per second per worker, because each request runs a blocking forward pass in a single worker. So serving more people needs more workers or a GPU. On the right is the finished interface: the verdict, the stage track, the draggable attribution, the probabilities and the attention audit.</w:t>
      </w:r>
    </w:p>
    <w:p>
      <w:pPr>
        <w:pStyle w:val="Heading2"/>
      </w:pPr>
      <w:r>
        <w:t>Slide 16: What we can claim, and what comes next</w:t>
      </w:r>
    </w:p>
    <w:p>
      <w:r>
        <w:rPr>
          <w:b w:val="0"/>
          <w:i w:val="0"/>
        </w:rPr>
        <w:t>So what can we claim? The pipeline works end to end, it is reproducible, the explanations are exact for the handwriting model and checkable for the MRI model, and it is fast enough to demo on a laptop. What we cannot claim is clinical performance. The data are synthetic, the model is brittle to image degradation, and the combined score in the interface is just an average, not a trained multimodal model. The next steps, in order: real data, with ADNI for MRI and a tablet dataset such as DARWIN for handwriting, and subject-level splits; calibration and thresholds chosen for the cost of missing a patient; training for robustness; faithfulness tests for the explanations; a learned fusion once paired data exists; and engineering hardening. Thank you. We are happy to take questions, and we can run the live demo.</w:t>
      </w:r>
    </w:p>
    <w:tbl>
      <w:tblPr>
        <w:tblStyle w:val="TableGrid"/>
        <w:tblW w:type="auto" w:w="0"/>
        <w:tblLook w:firstColumn="1" w:firstRow="1" w:lastColumn="0" w:lastRow="0" w:noHBand="0" w:noVBand="1" w:val="04A0"/>
      </w:tblPr>
      <w:tblGrid>
        <w:gridCol w:w="9360"/>
      </w:tblGrid>
      <w:tr>
        <w:tc>
          <w:tcPr>
            <w:tcW w:type="dxa" w:w="9360"/>
            <w:shd w:val="clear" w:color="auto" w:fill="F1ECF4"/>
          </w:tcPr>
          <w:p>
            <w:r/>
            <w:r>
              <w:rPr>
                <w:b/>
              </w:rPr>
              <w:t xml:space="preserve">Your cue to hand over: </w:t>
            </w:r>
            <w:r>
              <w:t>finish by inviting questions and offering the live demo.</w:t>
            </w:r>
          </w:p>
        </w:tc>
      </w:tr>
    </w:tbl>
    <w:p>
      <w:r>
        <w:br w:type="page"/>
      </w:r>
    </w:p>
    <w:p>
      <w:pPr>
        <w:pStyle w:val="Heading1"/>
      </w:pPr>
      <w:r>
        <w:t>Closing and live demo</w:t>
      </w:r>
    </w:p>
    <w:p>
      <w:pPr>
        <w:spacing w:after="200"/>
      </w:pPr>
      <w:r>
        <w:rPr>
          <w:b w:val="0"/>
          <w:i/>
          <w:color w:val="6B5A72"/>
        </w:rPr>
        <w:t>Slide 17   ·   Malhar leads, everyone answers questions   ·   about 0:15 plus Q&amp;A</w:t>
      </w:r>
    </w:p>
    <w:p>
      <w:pPr>
        <w:pStyle w:val="Heading2"/>
      </w:pPr>
      <w:r>
        <w:t>Slide 17: Thank you</w:t>
      </w:r>
    </w:p>
    <w:p>
      <w:r>
        <w:rPr>
          <w:b w:val="0"/>
          <w:i w:val="0"/>
        </w:rPr>
        <w:t>Thank you. We are happy to take questions. If it helps, Malhar can run the live demo: upload a scan, drag the attribution slider, then draw a spiral and watch the speed trace and feature contributions appear.</w:t>
      </w:r>
    </w:p>
    <w:p>
      <w:pPr>
        <w:spacing w:after="160"/>
      </w:pPr>
      <w:r>
        <w:rPr>
          <w:b w:val="0"/>
          <w:i w:val="0"/>
        </w:rPr>
        <w:t>Suggested live demo (about two minutes): upload the healthy sample and show the verdict; drag the attribution slider; ask the counterfactual by choosing AD under Explain; open the Handwriting tab, draw a spiral, press Analyse, and point at the speed trace and the feature bars. If the live drawing is awkward, press Elevated to replay a simulated drawing.</w:t>
      </w:r>
    </w:p>
    <w:p>
      <w:r>
        <w:br w:type="page"/>
      </w:r>
    </w:p>
    <w:p>
      <w:pPr>
        <w:pStyle w:val="Heading1"/>
      </w:pPr>
      <w:r>
        <w:t>Quick facts to have in your head</w:t>
      </w:r>
    </w:p>
    <w:p>
      <w:pPr>
        <w:pStyle w:val="ListBullet"/>
      </w:pPr>
      <w:r>
        <w:t>All data are synthetic: MRI slices are generated phantoms, drawings are simulated. Results describe the pipeline, not patients.</w:t>
      </w:r>
    </w:p>
    <w:p>
      <w:pPr>
        <w:pStyle w:val="ListBullet"/>
      </w:pPr>
      <w:r>
        <w:t>The released checkpoint reproduces the reported test split exactly: 95.35% accuracy, macro F1 0.9653, identical confusion matrix (43 slices).</w:t>
      </w:r>
    </w:p>
    <w:p>
      <w:pPr>
        <w:pStyle w:val="ListBullet"/>
      </w:pPr>
      <w:r>
        <w:t>On 1,065 fresh slices: 97.8% accuracy, macro F1 0.978 (95% CI 0.968 to 0.986). All 23 errors are between neighbouring stages.</w:t>
      </w:r>
    </w:p>
    <w:p>
      <w:pPr>
        <w:pStyle w:val="ListBullet"/>
      </w:pPr>
      <w:r>
        <w:t>Early-detection recall 0.992: 5 of 615 impaired slices called normal.</w:t>
      </w:r>
    </w:p>
    <w:p>
      <w:pPr>
        <w:pStyle w:val="ListBullet"/>
      </w:pPr>
      <w:r>
        <w:t>Grad-CAM audit flags a map if less than 40% of it falls in the central half of the frame. It flagged 0 of 710 maps.</w:t>
      </w:r>
    </w:p>
    <w:p>
      <w:pPr>
        <w:pStyle w:val="ListBullet"/>
      </w:pPr>
      <w:r>
        <w:t>Noise (sigma 0.10) takes macro F1 from 0.987 to 0.648; brightness or contrast shifts cut early-detection recall to about 0.89.</w:t>
      </w:r>
    </w:p>
    <w:p>
      <w:pPr>
        <w:pStyle w:val="ListBullet"/>
      </w:pPr>
      <w:r>
        <w:t>Handwriting: 9 features, logistic regression, AUC 0.962 on 600 held-out simulated drawings; at 4 px of noise accuracy falls to 64.8% while AUC stays 0.928.</w:t>
      </w:r>
    </w:p>
    <w:p>
      <w:pPr>
        <w:pStyle w:val="ListBullet"/>
      </w:pPr>
      <w:r>
        <w:t>Latency on 4 CPU cores: handwriting 10 ms, MRI prediction 111 ms, with Grad-CAM 293 ms. About 9.4 predictions or 3.6 explanations per second per worker.</w:t>
      </w:r>
    </w:p>
    <w:p>
      <w:pPr>
        <w:pStyle w:val="ListBullet"/>
      </w:pPr>
      <w:r>
        <w:t>Hot-deck imputation keeps variance near 1.0 (mean imputation: 0). ADASYN: no measurable downstream gain (change of -0.002 in macro F1, 14 of 30 splits ahead).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5B3A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3B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3B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