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Times New Roman" w:eastAsia="仿宋" w:hAnsi="Times New Roman"/>
          <w:sz w:val="24"/>
          <w:szCs w:val="24"/>
        </w:rPr>
        <w:t xml:space="preserve"/>
      </w:r>
    </w:p>
    <w:p>
      <w:pPr>
        <w:spacing w:after="300"/>
        <w:jc w:val="center"/>
      </w:pPr>
      <w:r>
        <w:rPr>
          <w:rFonts w:ascii="Times New Roman" w:eastAsia="黑体" w:hAnsi="Times New Roman"/>
          <w:b/>
          <w:bCs/>
          <w:sz w:val="52"/>
          <w:szCs w:val="52"/>
        </w:rPr>
        <w:t xml:space="preserve">项目实施进度计划</w:t>
      </w:r>
    </w:p>
    <w:p>
      <w:pPr>
        <w:spacing w:after="2400"/>
        <w:jc w:val="center"/>
      </w:pPr>
      <w:r>
        <w:rPr>
          <w:rFonts w:ascii="Times New Roman" w:eastAsia="黑体" w:hAnsi="Times New Roman"/>
          <w:b/>
          <w:bCs/>
          <w:sz w:val="36"/>
          <w:szCs w:val="36"/>
        </w:rPr>
        <w:t xml:space="preserve">微语智能客服平台</w:t>
      </w:r>
    </w:p>
    <w:p>
      <w:pPr>
        <w:spacing w:after="160"/>
        <w:jc w:val="center"/>
      </w:pPr>
      <w:r>
        <w:rPr>
          <w:rFonts w:ascii="Times New Roman" w:eastAsia="仿宋" w:hAnsi="Times New Roman"/>
          <w:sz w:val="28"/>
          <w:szCs w:val="28"/>
        </w:rPr>
        <w:t xml:space="preserve">项目名称：业主单位全场景云客服平台建设及运营项目</w:t>
      </w:r>
    </w:p>
    <w:p>
      <w:pPr>
        <w:spacing w:after="160"/>
        <w:jc w:val="center"/>
      </w:pPr>
      <w:r>
        <w:rPr>
          <w:rFonts w:ascii="Times New Roman" w:eastAsia="仿宋" w:hAnsi="Times New Roman"/>
          <w:sz w:val="28"/>
          <w:szCs w:val="28"/>
        </w:rPr>
        <w:t xml:space="preserve">合同编号：WY-KFKFPT-2026</w:t>
      </w:r>
    </w:p>
    <w:p>
      <w:pPr>
        <w:spacing w:after="160"/>
        <w:jc w:val="center"/>
      </w:pPr>
      <w:r>
        <w:rPr>
          <w:rFonts w:ascii="Times New Roman" w:eastAsia="仿宋" w:hAnsi="Times New Roman"/>
          <w:sz w:val="28"/>
          <w:szCs w:val="28"/>
        </w:rPr>
        <w:t xml:space="preserve">供应商：北京微语天下科技有限公司</w:t>
      </w:r>
    </w:p>
    <w:p>
      <w:pPr>
        <w:jc w:val="center"/>
      </w:pPr>
      <w:r>
        <w:rPr>
          <w:rFonts w:ascii="Times New Roman" w:eastAsia="仿宋" w:hAnsi="Times New Roman"/>
          <w:sz w:val="28"/>
          <w:szCs w:val="28"/>
        </w:rPr>
        <w:t xml:space="preserve">日期：&lt;年&gt;年&lt;月&gt;月</w:t>
      </w:r>
    </w:p>
    <w:p>
      <w:pPr>
        <w:pageBreakBefore/>
      </w:pPr>
      <w:r>
        <w:rPr>
          <w:sz w:val="24"/>
          <w:szCs w:val="24"/>
        </w:rPr>
        <w:t xml:space="preserve"/>
      </w:r>
    </w:p>
    <w:p>
      <w:pPr>
        <w:spacing w:after="200"/>
        <w:jc w:val="center"/>
      </w:pPr>
      <w:r>
        <w:rPr>
          <w:rFonts w:ascii="Times New Roman" w:eastAsia="黑体" w:hAnsi="Times New Roman"/>
          <w:b/>
          <w:bCs/>
          <w:sz w:val="32"/>
          <w:szCs w:val="32"/>
        </w:rPr>
        <w:t xml:space="preserve">目  录</w:t>
      </w:r>
    </w:p>
    <w:sdt>
      <w:sdtPr>
        <w:alias w:val="目录"/>
      </w:sdtPr>
      <w:sdtContent>
        <w:p>
          <w:r>
            <w:fldChar w:fldCharType="begin" w:dirty="true"/>
            <w:instrText xml:space="preserve">TOC \h \o "1-2"</w:instrText>
            <w:fldChar w:fldCharType="separate"/>
          </w:r>
        </w:p>
        <w:p>
          <w:r>
            <w:fldChar w:fldCharType="end"/>
          </w:r>
        </w:p>
      </w:sdtContent>
    </w:sdt>
    <w:p>
      <w:pPr>
        <w:pageBreakBefore/>
      </w:pPr>
      <w:r>
        <w:rPr>
          <w:sz w:val="24"/>
          <w:szCs w:val="24"/>
        </w:rPr>
        <w:t xml:space="preserve"/>
      </w:r>
    </w:p>
    <w:p>
      <w:pPr>
        <w:pStyle w:val="Heading1"/>
        <w:spacing w:after="120" w:before="240"/>
      </w:pPr>
      <w:r>
        <w:rPr>
          <w:rFonts w:ascii="Times New Roman" w:eastAsia="黑体" w:hAnsi="Times New Roman"/>
          <w:b/>
          <w:bCs/>
          <w:color w:val="000000"/>
          <w:sz w:val="32"/>
          <w:szCs w:val="32"/>
        </w:rPr>
        <w:t xml:space="preserve">一、总则</w:t>
      </w:r>
    </w:p>
    <w:p>
      <w:pPr>
        <w:pStyle w:val="Heading2"/>
        <w:spacing w:after="100" w:before="200"/>
      </w:pPr>
      <w:r>
        <w:rPr>
          <w:rFonts w:ascii="Times New Roman" w:eastAsia="黑体" w:hAnsi="Times New Roman"/>
          <w:b/>
          <w:bCs/>
          <w:color w:val="000000"/>
          <w:sz w:val="28"/>
          <w:szCs w:val="28"/>
        </w:rPr>
        <w:t xml:space="preserve">1.1 编制目的与依据</w:t>
      </w:r>
    </w:p>
    <w:p>
      <w:pPr>
        <w:spacing w:after="60" w:line="360" w:lineRule="auto"/>
        <w:ind w:firstLine="480"/>
      </w:pPr>
      <w:r>
        <w:rPr>
          <w:rFonts w:ascii="Times New Roman" w:eastAsia="仿宋" w:hAnsi="Times New Roman"/>
          <w:sz w:val="24"/>
          <w:szCs w:val="24"/>
        </w:rPr>
        <w:t xml:space="preserve">本计划规定业主单位全场景云客服平台建设及运营项目的实施阶段划分、时间节点、里程碑与交付物安排，确保项目在合同签订后 30 天内完成部署、60 天内完成安装调试并具备验收条件。编制依据为项目竞争性磋商文件第四章采购需求、《项目总体实施方案》（第七章实施计划与本计划互为引用）、《应急预案和处理措施》及《集成标准》。</w:t>
      </w:r>
    </w:p>
    <w:p>
      <w:pPr>
        <w:pStyle w:val="Heading2"/>
        <w:spacing w:after="100" w:before="200"/>
      </w:pPr>
      <w:r>
        <w:rPr>
          <w:rFonts w:ascii="Times New Roman" w:eastAsia="黑体" w:hAnsi="Times New Roman"/>
          <w:b/>
          <w:bCs/>
          <w:color w:val="000000"/>
          <w:sz w:val="28"/>
          <w:szCs w:val="28"/>
        </w:rPr>
        <w:t xml:space="preserve">1.2 时间基准</w:t>
      </w:r>
    </w:p>
    <w:p>
      <w:pPr>
        <w:spacing w:after="60" w:line="360" w:lineRule="auto"/>
        <w:ind w:firstLine="480"/>
      </w:pPr>
      <w:r>
        <w:rPr>
          <w:rFonts w:ascii="Times New Roman" w:eastAsia="仿宋" w:hAnsi="Times New Roman"/>
          <w:b w:val="false"/>
          <w:bCs w:val="false"/>
          <w:sz w:val="24"/>
          <w:szCs w:val="24"/>
        </w:rPr>
        <w:t xml:space="preserve">本计划采用相对时间基准：T0 = 合同签订日，T0+n 表示合同签订后第 n 天。总工期 60 天（约 9 周）。</w:t>
      </w:r>
    </w:p>
    <w:p>
      <w:pPr>
        <w:spacing w:after="60" w:line="360" w:lineRule="auto"/>
        <w:ind w:firstLine="480"/>
      </w:pPr>
      <w:r>
        <w:rPr>
          <w:rFonts w:ascii="Times New Roman" w:eastAsia="仿宋" w:hAnsi="Times New Roman"/>
          <w:sz w:val="24"/>
          <w:szCs w:val="24"/>
        </w:rPr>
        <w:t xml:space="preserve">关键锚点与《项目总体实施方案》表 7-1 完全一致：环境就绪 T0+3、系统可访问 T0+7、功能配置完成 T0+14、集成联调通过 T0+25、部署阶段完成 T0+30、培训完成 T0+45、具备验收条件 T0+60。</w:t>
      </w:r>
    </w:p>
    <w:p>
      <w:pPr>
        <w:pStyle w:val="Heading2"/>
        <w:spacing w:after="100" w:before="200"/>
      </w:pPr>
      <w:r>
        <w:rPr>
          <w:rFonts w:ascii="Times New Roman" w:eastAsia="黑体" w:hAnsi="Times New Roman"/>
          <w:b/>
          <w:bCs/>
          <w:color w:val="000000"/>
          <w:sz w:val="28"/>
          <w:szCs w:val="28"/>
        </w:rPr>
        <w:t xml:space="preserve">1.3 进度管理机制</w:t>
      </w:r>
    </w:p>
    <w:p>
      <w:pPr>
        <w:pStyle w:val="ListParagraph"/>
        <w:numPr>
          <w:ilvl w:val="0"/>
          <w:numId w:val="2"/>
        </w:numPr>
        <w:spacing w:after="40" w:line="360" w:lineRule="auto"/>
      </w:pPr>
      <w:r>
        <w:rPr>
          <w:rFonts w:ascii="Times New Roman" w:eastAsia="仿宋" w:hAnsi="Times New Roman"/>
          <w:sz w:val="24"/>
          <w:szCs w:val="24"/>
        </w:rPr>
        <w:t xml:space="preserve">周报制度：实施期间每周五提交《项目进度周报》，含本周完成、下周计划、风险与求助事项；</w:t>
      </w:r>
    </w:p>
    <w:p>
      <w:pPr>
        <w:pStyle w:val="ListParagraph"/>
        <w:numPr>
          <w:ilvl w:val="0"/>
          <w:numId w:val="2"/>
        </w:numPr>
        <w:spacing w:after="40" w:line="360" w:lineRule="auto"/>
      </w:pPr>
      <w:r>
        <w:rPr>
          <w:rFonts w:ascii="Times New Roman" w:eastAsia="仿宋" w:hAnsi="Times New Roman"/>
          <w:sz w:val="24"/>
          <w:szCs w:val="24"/>
        </w:rPr>
        <w:t xml:space="preserve">双周例会：每两周召开一次项目例会，评审进度与偏差，形成会议纪要双方确认；</w:t>
      </w:r>
    </w:p>
    <w:p>
      <w:pPr>
        <w:pStyle w:val="ListParagraph"/>
        <w:numPr>
          <w:ilvl w:val="0"/>
          <w:numId w:val="2"/>
        </w:numPr>
        <w:spacing w:after="40" w:line="360" w:lineRule="auto"/>
      </w:pPr>
      <w:r>
        <w:rPr>
          <w:rFonts w:ascii="Times New Roman" w:eastAsia="仿宋" w:hAnsi="Times New Roman"/>
          <w:sz w:val="24"/>
          <w:szCs w:val="24"/>
        </w:rPr>
        <w:t xml:space="preserve">里程碑评审：每个里程碑完成后由验收方（见表 2-2）签收确认，方可进入下一阶段；</w:t>
      </w:r>
    </w:p>
    <w:p>
      <w:pPr>
        <w:pStyle w:val="ListParagraph"/>
        <w:numPr>
          <w:ilvl w:val="0"/>
          <w:numId w:val="2"/>
        </w:numPr>
        <w:spacing w:after="40" w:line="360" w:lineRule="auto"/>
      </w:pPr>
      <w:r>
        <w:rPr>
          <w:rFonts w:ascii="Times New Roman" w:eastAsia="仿宋" w:hAnsi="Times New Roman"/>
          <w:sz w:val="24"/>
          <w:szCs w:val="24"/>
        </w:rPr>
        <w:t xml:space="preserve">并行管理：知识库建设、用户培训等并行阶段在例会中单独跟踪，避免资源冲突。</w:t>
      </w:r>
    </w:p>
    <w:p>
      <w:pPr>
        <w:pStyle w:val="Heading1"/>
        <w:spacing w:after="120" w:before="240"/>
      </w:pPr>
      <w:r>
        <w:rPr>
          <w:rFonts w:ascii="Times New Roman" w:eastAsia="黑体" w:hAnsi="Times New Roman"/>
          <w:b/>
          <w:bCs/>
          <w:color w:val="000000"/>
          <w:sz w:val="32"/>
          <w:szCs w:val="32"/>
        </w:rPr>
        <w:t xml:space="preserve">二、总体进度安排</w:t>
      </w:r>
    </w:p>
    <w:p>
      <w:pPr>
        <w:pStyle w:val="Heading2"/>
        <w:spacing w:after="100" w:before="200"/>
      </w:pPr>
      <w:r>
        <w:rPr>
          <w:rFonts w:ascii="Times New Roman" w:eastAsia="黑体" w:hAnsi="Times New Roman"/>
          <w:b/>
          <w:bCs/>
          <w:color w:val="000000"/>
          <w:sz w:val="28"/>
          <w:szCs w:val="28"/>
        </w:rPr>
        <w:t xml:space="preserve">2.1 阶段一览</w:t>
      </w:r>
    </w:p>
    <w:p>
      <w:pPr>
        <w:spacing w:after="60" w:before="120"/>
        <w:jc w:val="center"/>
      </w:pPr>
      <w:r>
        <w:rPr>
          <w:rFonts w:ascii="Times New Roman" w:eastAsia="黑体" w:hAnsi="Times New Roman"/>
          <w:b/>
          <w:bCs/>
          <w:sz w:val="21"/>
          <w:szCs w:val="21"/>
        </w:rPr>
        <w:t xml:space="preserve">表 2-1 项目实施十阶段一览表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900"/>
        <w:gridCol w:w="2300"/>
        <w:gridCol w:w="2226"/>
      </w:tblGrid>
      <w:tr>
        <w:trPr>
          <w:tblHeader/>
        </w:trPr>
        <w:tc>
          <w:tcPr>
            <w:tcW w:type="dxa" w:w="7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序号</w:t>
            </w:r>
          </w:p>
        </w:tc>
        <w:tc>
          <w:tcPr>
            <w:tcW w:type="dxa" w:w="1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阶段</w:t>
            </w:r>
          </w:p>
        </w:tc>
        <w:tc>
          <w:tcPr>
            <w:tcW w:type="dxa" w:w="19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时间区间</w:t>
            </w:r>
          </w:p>
        </w:tc>
        <w:tc>
          <w:tcPr>
            <w:tcW w:type="dxa" w:w="23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并行关系</w:t>
            </w:r>
          </w:p>
        </w:tc>
        <w:tc>
          <w:tcPr>
            <w:tcW w:type="dxa" w:w="22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里程碑</w:t>
            </w:r>
          </w:p>
        </w:tc>
      </w:tr>
      <w:tr>
        <w:tc>
          <w:tcPr>
            <w:tcW w:type="dxa" w:w="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需求确认</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 ~ T0+5</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前置阶段</w:t>
            </w:r>
          </w:p>
        </w:tc>
        <w:tc>
          <w:tcPr>
            <w:tcW w:type="dxa" w:w="22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M2</w:t>
            </w:r>
          </w:p>
        </w:tc>
      </w:tr>
      <w:tr>
        <w:tc>
          <w:tcPr>
            <w:tcW w:type="dxa" w:w="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2</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系统部署</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T0+3 ~ T0+10</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与阶段一部分并行</w:t>
            </w:r>
          </w:p>
        </w:tc>
        <w:tc>
          <w:tcPr>
            <w:tcW w:type="dxa" w:w="22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M1、M3、M4</w:t>
            </w:r>
          </w:p>
        </w:tc>
      </w:tr>
      <w:tr>
        <w:tc>
          <w:tcPr>
            <w:tcW w:type="dxa" w:w="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3</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功能配置</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T0+8 ~ T0+18</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紧随部署冒烟</w:t>
            </w:r>
          </w:p>
        </w:tc>
        <w:tc>
          <w:tcPr>
            <w:tcW w:type="dxa" w:w="22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M5、M6</w:t>
            </w:r>
          </w:p>
        </w:tc>
      </w:tr>
      <w:tr>
        <w:tc>
          <w:tcPr>
            <w:tcW w:type="dxa" w:w="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4</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集成对接</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T0+15 ~ T0+28</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与阶段三尾部并行</w:t>
            </w:r>
          </w:p>
        </w:tc>
        <w:tc>
          <w:tcPr>
            <w:tcW w:type="dxa" w:w="22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M7、M9</w:t>
            </w:r>
          </w:p>
        </w:tc>
      </w:tr>
      <w:tr>
        <w:tc>
          <w:tcPr>
            <w:tcW w:type="dxa" w:w="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5</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知识库建设</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T0+10 ~ T0+35</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跨阶段并行支线</w:t>
            </w:r>
          </w:p>
        </w:tc>
        <w:tc>
          <w:tcPr>
            <w:tcW w:type="dxa" w:w="22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M8、M10</w:t>
            </w:r>
          </w:p>
        </w:tc>
      </w:tr>
      <w:tr>
        <w:tc>
          <w:tcPr>
            <w:tcW w:type="dxa" w:w="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6</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系统测试</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T0+30 ~ T0+42</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部署完成节点后</w:t>
            </w:r>
          </w:p>
        </w:tc>
        <w:tc>
          <w:tcPr>
            <w:tcW w:type="dxa" w:w="22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M11</w:t>
            </w:r>
          </w:p>
        </w:tc>
      </w:tr>
      <w:tr>
        <w:tc>
          <w:tcPr>
            <w:tcW w:type="dxa" w:w="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7</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用户培训</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T0+35 ~ T0+45</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与测试尾部并行</w:t>
            </w:r>
          </w:p>
        </w:tc>
        <w:tc>
          <w:tcPr>
            <w:tcW w:type="dxa" w:w="22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M12</w:t>
            </w:r>
          </w:p>
        </w:tc>
      </w:tr>
      <w:tr>
        <w:tc>
          <w:tcPr>
            <w:tcW w:type="dxa" w:w="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8</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试运行</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T0+40 ~ T0+50</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与培训尾部并行</w:t>
            </w:r>
          </w:p>
        </w:tc>
        <w:tc>
          <w:tcPr>
            <w:tcW w:type="dxa" w:w="22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M13</w:t>
            </w:r>
          </w:p>
        </w:tc>
      </w:tr>
      <w:tr>
        <w:tc>
          <w:tcPr>
            <w:tcW w:type="dxa" w:w="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9</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正式上线</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T0+50 ~ T0+55</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w:t>
            </w:r>
          </w:p>
        </w:tc>
        <w:tc>
          <w:tcPr>
            <w:tcW w:type="dxa" w:w="22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M14</w:t>
            </w:r>
          </w:p>
        </w:tc>
      </w:tr>
      <w:tr>
        <w:tc>
          <w:tcPr>
            <w:tcW w:type="dxa" w:w="7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10</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验收</w:t>
            </w:r>
          </w:p>
        </w:tc>
        <w:tc>
          <w:tcPr>
            <w:tcW w:type="dxa" w:w="19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T0+55 ~ T0+60</w:t>
            </w:r>
          </w:p>
        </w:tc>
        <w:tc>
          <w:tcPr>
            <w:tcW w:type="dxa" w:w="23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w:t>
            </w:r>
          </w:p>
        </w:tc>
        <w:tc>
          <w:tcPr>
            <w:tcW w:type="dxa" w:w="22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M15</w:t>
            </w:r>
          </w:p>
        </w:tc>
      </w:tr>
    </w:tbl>
    <w:p>
      <w:pPr>
        <w:pStyle w:val="Heading2"/>
        <w:spacing w:after="100" w:before="200"/>
      </w:pPr>
      <w:r>
        <w:rPr>
          <w:rFonts w:ascii="Times New Roman" w:eastAsia="黑体" w:hAnsi="Times New Roman"/>
          <w:b/>
          <w:bCs/>
          <w:color w:val="000000"/>
          <w:sz w:val="28"/>
          <w:szCs w:val="28"/>
        </w:rPr>
        <w:t xml:space="preserve">2.2 里程碑总表（M1–M15）</w:t>
      </w:r>
    </w:p>
    <w:p>
      <w:pPr>
        <w:spacing w:after="60" w:line="360" w:lineRule="auto"/>
        <w:ind w:firstLine="480"/>
      </w:pPr>
      <w:r>
        <w:rPr>
          <w:rFonts w:ascii="Times New Roman" w:eastAsia="仿宋" w:hAnsi="Times New Roman"/>
          <w:sz w:val="24"/>
          <w:szCs w:val="24"/>
        </w:rPr>
        <w:t xml:space="preserve">按部署拆分“环境/中间件/应用”、配置拆分“基础/智能”、集成拆分“SSO/全渠道”、知识库拆分“首轮导入/建设完成”的细化原则，全项目共设 15 个里程碑：</w:t>
      </w:r>
    </w:p>
    <w:p>
      <w:pPr>
        <w:spacing w:after="60" w:before="120"/>
        <w:jc w:val="center"/>
      </w:pPr>
      <w:r>
        <w:rPr>
          <w:rFonts w:ascii="Times New Roman" w:eastAsia="黑体" w:hAnsi="Times New Roman"/>
          <w:b/>
          <w:bCs/>
          <w:sz w:val="21"/>
          <w:szCs w:val="21"/>
        </w:rPr>
        <w:t xml:space="preserve">表 2-2 里程碑总表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1200"/>
        <w:gridCol w:w="3300"/>
        <w:gridCol w:w="1426"/>
      </w:tblGrid>
      <w:tr>
        <w:trPr>
          <w:tblHeader/>
        </w:trPr>
        <w:tc>
          <w:tcPr>
            <w:tcW w:type="dxa" w:w="8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编号</w:t>
            </w:r>
          </w:p>
        </w:tc>
        <w:tc>
          <w:tcPr>
            <w:tcW w:type="dxa" w:w="23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里程碑名称</w:t>
            </w:r>
          </w:p>
        </w:tc>
        <w:tc>
          <w:tcPr>
            <w:tcW w:type="dxa" w:w="12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时间节点</w:t>
            </w:r>
          </w:p>
        </w:tc>
        <w:tc>
          <w:tcPr>
            <w:tcW w:type="dxa" w:w="33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交付物</w:t>
            </w:r>
          </w:p>
        </w:tc>
        <w:tc>
          <w:tcPr>
            <w:tcW w:type="dxa" w:w="14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验收方</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M1</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实施环境就绪</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T0+3</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服务器、网络与基础环境检查单</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M2</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需求确认完成</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T0+5</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《需求确认书》</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双方</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M3</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中间件就绪</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T0+5</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中间件部署验证记录</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供应商</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M4</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应用部署完成</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T0+7</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《部署完成确认单》（冒烟通过）</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双方</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M5</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基础功能配置完成</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T0+14</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组织/权限/账号配置确认</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M6</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智能功能配置完成</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T0+18</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《功能配置确认单》</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M7</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SSO 集成联调通过</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T0+20</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SSO 联调测试记录</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双方</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M8</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知识库首轮导入完成</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T0+25</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知识导入清单与抽检记录</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M9</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全渠道集成完成</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T0+25</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《集成验证报告》</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双方</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M10</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知识库建设完成</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T0+35</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知识库验收单（命中率达标）</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M11</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系统测试通过</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T0+42</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《测试报告》（UAT 闭环）</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M12</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用户培训完成</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T0+45</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《培训完成确认单》</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M13</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试运行通过</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T0+50</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《试运行报告》</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双方</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M14</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正式上线</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T0+55</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上线切换记录</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8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M15</w:t>
            </w:r>
          </w:p>
        </w:tc>
        <w:tc>
          <w:tcPr>
            <w:tcW w:type="dxa" w:w="2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具备验收条件</w:t>
            </w:r>
          </w:p>
        </w:tc>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T0+60</w:t>
            </w:r>
          </w:p>
        </w:tc>
        <w:tc>
          <w:tcPr>
            <w:tcW w:type="dxa" w:w="33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验收材料全套 + 验收评审结论</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bl>
    <w:p>
      <w:pPr>
        <w:pStyle w:val="Heading2"/>
        <w:spacing w:after="100" w:before="200"/>
      </w:pPr>
      <w:r>
        <w:rPr>
          <w:rFonts w:ascii="Times New Roman" w:eastAsia="黑体" w:hAnsi="Times New Roman"/>
          <w:b/>
          <w:bCs/>
          <w:color w:val="000000"/>
          <w:sz w:val="28"/>
          <w:szCs w:val="28"/>
        </w:rPr>
        <w:t xml:space="preserve">2.3 关键路径</w:t>
      </w:r>
    </w:p>
    <w:p>
      <w:pPr>
        <w:spacing w:after="60" w:line="360" w:lineRule="auto"/>
        <w:ind w:firstLine="480"/>
      </w:pPr>
      <w:r>
        <w:rPr>
          <w:rFonts w:ascii="Times New Roman" w:eastAsia="仿宋" w:hAnsi="Times New Roman"/>
          <w:sz w:val="24"/>
          <w:szCs w:val="24"/>
        </w:rPr>
        <w:t xml:space="preserve">项目关键路径为：需求确认（M2）→ 应用部署（M4）→ 智能功能配置（M6）→ 全渠道集成（M9）→ 系统测试（M11）→ 试运行（M13）→ 正式上线（M14）→ 验收（M15）。关键路径上任一里程碑延迟将直接影响 60 天总工期，需优先保障资源。知识库建设（M8/M10）为最长并行支线，依赖业主单位各部门知识配合，自 T0+10 启动即开始跟踪，其进度风险已纳入《应急预案和处理措施》R11 预案。</w:t>
      </w:r>
    </w:p>
    <w:p>
      <w:pPr>
        <w:pageBreakBefore/>
      </w:pPr>
      <w:r>
        <w:rPr>
          <w:sz w:val="24"/>
          <w:szCs w:val="24"/>
        </w:rPr>
        <w:t xml:space="preserve"/>
      </w:r>
    </w:p>
    <w:p>
      <w:pPr>
        <w:pStyle w:val="Heading1"/>
        <w:spacing w:after="120" w:before="240"/>
      </w:pPr>
      <w:r>
        <w:rPr>
          <w:rFonts w:ascii="Times New Roman" w:eastAsia="黑体" w:hAnsi="Times New Roman"/>
          <w:b/>
          <w:bCs/>
          <w:color w:val="000000"/>
          <w:sz w:val="32"/>
          <w:szCs w:val="32"/>
        </w:rPr>
        <w:t xml:space="preserve">三、分阶段详细计划</w:t>
      </w:r>
    </w:p>
    <w:p>
      <w:pPr>
        <w:spacing w:after="60" w:line="360" w:lineRule="auto"/>
        <w:ind w:firstLine="480"/>
      </w:pPr>
      <w:r>
        <w:rPr>
          <w:rFonts w:ascii="Times New Roman" w:eastAsia="仿宋" w:hAnsi="Times New Roman"/>
          <w:sz w:val="24"/>
          <w:szCs w:val="24"/>
        </w:rPr>
        <w:t xml:space="preserve">以下按十个阶段逐一说明各阶段的时间区间、目标、主要工作、里程碑、双方职责与准出条件。</w:t>
      </w:r>
    </w:p>
    <w:p>
      <w:pPr>
        <w:pStyle w:val="Heading2"/>
        <w:spacing w:after="100" w:before="200"/>
      </w:pPr>
      <w:r>
        <w:rPr>
          <w:rFonts w:ascii="Times New Roman" w:eastAsia="黑体" w:hAnsi="Times New Roman"/>
          <w:b/>
          <w:bCs/>
          <w:color w:val="000000"/>
          <w:sz w:val="28"/>
          <w:szCs w:val="28"/>
        </w:rPr>
        <w:t xml:space="preserve">3.1 需求确认</w:t>
      </w:r>
    </w:p>
    <w:p>
      <w:pPr>
        <w:spacing w:after="60" w:line="360" w:lineRule="auto"/>
        <w:ind w:firstLine="480"/>
      </w:pPr>
      <w:r>
        <w:rPr>
          <w:rFonts w:ascii="Times New Roman" w:eastAsia="仿宋" w:hAnsi="Times New Roman"/>
          <w:sz w:val="24"/>
          <w:szCs w:val="24"/>
        </w:rPr>
        <w:t xml:space="preserve">阶段一：需求确认（T0 ~ T0+5（第 1 周））：与业主单位确认建设范围、业务场景、组织架构、渠道规划与集成参数，形成双方签署的《需求确认书》，作为后续配置与验收基线。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时间区间</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T0 ~ T0+5（第 1 周）</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阶段目标</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与业主单位确认建设范围、业务场景、组织架构、渠道规划与集成参数，形成双方签署的《需求确认书》，作为后续配置与验收基线。</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主要工作</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召开项目启动会与需求调研会；确认工作组划分、接待流程、工单分类体系、知识库目录框架；确认 SSO/企微/APP/推送四类集成参数清单；梳理各部门知识来源与责任人。</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里程碑</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M2 需求确认完成（T0+5）</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双方职责</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业主单位：组织业务部门参与调研、提供集成参数与知识来源；供应商：引导调研、输出需求确认书。</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准出条件</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《需求确认书》双方签字确认。</w:t>
            </w:r>
          </w:p>
        </w:tc>
      </w:tr>
    </w:tbl>
    <w:p>
      <w:pPr>
        <w:pStyle w:val="Heading2"/>
        <w:spacing w:after="100" w:before="200"/>
      </w:pPr>
      <w:r>
        <w:rPr>
          <w:rFonts w:ascii="Times New Roman" w:eastAsia="黑体" w:hAnsi="Times New Roman"/>
          <w:b/>
          <w:bCs/>
          <w:color w:val="000000"/>
          <w:sz w:val="28"/>
          <w:szCs w:val="28"/>
        </w:rPr>
        <w:t xml:space="preserve">3.2 系统部署</w:t>
      </w:r>
    </w:p>
    <w:p>
      <w:pPr>
        <w:spacing w:after="60" w:line="360" w:lineRule="auto"/>
        <w:ind w:firstLine="480"/>
      </w:pPr>
      <w:r>
        <w:rPr>
          <w:rFonts w:ascii="Times New Roman" w:eastAsia="仿宋" w:hAnsi="Times New Roman"/>
          <w:sz w:val="24"/>
          <w:szCs w:val="24"/>
        </w:rPr>
        <w:t xml:space="preserve">阶段二：系统部署（T0+3 ~ T0+10（第 1–2 周））：在业主单位服务器完成平台与全部中间件的容器化部署，系统可访问并通过冒烟测试（对齐 30 天部署期内的首个关键节点）。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时间区间</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T0+3 ~ T0+10（第 1–2 周）</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阶段目标</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在业主单位服务器完成平台与全部中间件的容器化部署，系统可访问并通过冒烟测试（对齐 30 天部署期内的首个关键节点）。</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主要工作</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服务器环境检查与基础环境安装（Docker/Compose）；MySQL/Redis/Elasticsearch/消息队列部署；微语应用部署与数据库初始化（Liquibase）；冒烟测试与部署验证清单逐项核验；安全基线、看门狗与备份策略配置。</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里程碑</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M1 实施环境就绪（T0+3）、M3 中间件就绪（T0+5）、M4 应用部署完成（T0+7）</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双方职责</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业主单位：服务器与网络策略就绪；供应商：全部部署实施与验证。</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准出条件</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冒烟测试全项通过，双方签署《部署完成确认单》。</w:t>
            </w:r>
          </w:p>
        </w:tc>
      </w:tr>
    </w:tbl>
    <w:p>
      <w:pPr>
        <w:pStyle w:val="Heading2"/>
        <w:spacing w:after="100" w:before="200"/>
      </w:pPr>
      <w:r>
        <w:rPr>
          <w:rFonts w:ascii="Times New Roman" w:eastAsia="黑体" w:hAnsi="Times New Roman"/>
          <w:b/>
          <w:bCs/>
          <w:color w:val="000000"/>
          <w:sz w:val="28"/>
          <w:szCs w:val="28"/>
        </w:rPr>
        <w:t xml:space="preserve">3.3 功能配置</w:t>
      </w:r>
    </w:p>
    <w:p>
      <w:pPr>
        <w:spacing w:after="60" w:line="360" w:lineRule="auto"/>
        <w:ind w:firstLine="480"/>
      </w:pPr>
      <w:r>
        <w:rPr>
          <w:rFonts w:ascii="Times New Roman" w:eastAsia="仿宋" w:hAnsi="Times New Roman"/>
          <w:sz w:val="24"/>
          <w:szCs w:val="24"/>
        </w:rPr>
        <w:t xml:space="preserve">阶段三：功能配置（T0+8 ~ T0+18（第 2–3 周））：完成八大功能模块的业务化配置，平台具备面向用户服务的能力。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时间区间</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T0+8 ~ T0+18（第 2–3 周）</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阶段目标</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完成八大功能模块的业务化配置，平台具备面向用户服务的能力。</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主要工作</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组织架构/部门/角色/账号配置（基础配置）；工作组与接待规则、机器人与大模型 API、提示词与 RAG 关联、工单分类与可视化流程、网页渠道嵌入代码、敏感词库、统计口径（智能功能配置）；逐模块配置验证。</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里程碑</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M5 基础功能配置完成（T0+14）、M6 智能功能配置完成（T0+18）</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双方职责</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业主单位：确认组织架构与业务规则；供应商：全部配置实施与《功能配置确认单》整理。</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准出条件</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《功能配置确认单》业主单位逐项确认。</w:t>
            </w:r>
          </w:p>
        </w:tc>
      </w:tr>
    </w:tbl>
    <w:p>
      <w:pPr>
        <w:pStyle w:val="Heading2"/>
        <w:spacing w:after="100" w:before="200"/>
      </w:pPr>
      <w:r>
        <w:rPr>
          <w:rFonts w:ascii="Times New Roman" w:eastAsia="黑体" w:hAnsi="Times New Roman"/>
          <w:b/>
          <w:bCs/>
          <w:color w:val="000000"/>
          <w:sz w:val="28"/>
          <w:szCs w:val="28"/>
        </w:rPr>
        <w:t xml:space="preserve">3.4 集成对接</w:t>
      </w:r>
    </w:p>
    <w:p>
      <w:pPr>
        <w:spacing w:after="60" w:line="360" w:lineRule="auto"/>
        <w:ind w:firstLine="480"/>
      </w:pPr>
      <w:r>
        <w:rPr>
          <w:rFonts w:ascii="Times New Roman" w:eastAsia="仿宋" w:hAnsi="Times New Roman"/>
          <w:sz w:val="24"/>
          <w:szCs w:val="24"/>
        </w:rPr>
        <w:t xml:space="preserve">阶段四：集成对接（T0+15 ~ T0+28（第 3–4 周））：完成与统一身份认证、企业微信、移动端 APP、消息推送平台四类集成联调（技术规范详见《集成标准》）。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时间区间</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T0+15 ~ T0+28（第 3–4 周）</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阶段目标</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完成与统一身份认证、企业微信、移动端 APP、消息推送平台四类集成联调（技术规范详见《集成标准》）。</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主要工作</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SSO 对接（CAS/OAuth2 参数配置、service 注册、属性映射联调）；企业微信自建应用配置（回调、通讯录、工作台入口）；移动端 APP H5 嵌入联调；消息推送平台 Webhook 对接与签名联调；人员信息定期同步接口验证。</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里程碑</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M7 SSO 集成联调通过（T0+20）、M9 全渠道集成完成（T0+25）</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双方职责</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业主单位：开放各平台参数与审核配合；供应商：协议对接与联调支持。</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准出条件</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四类集成联调用例全部通过，签署《集成验证报告》。</w:t>
            </w:r>
          </w:p>
        </w:tc>
      </w:tr>
    </w:tbl>
    <w:p>
      <w:pPr>
        <w:pStyle w:val="Heading2"/>
        <w:spacing w:after="100" w:before="200"/>
      </w:pPr>
      <w:r>
        <w:rPr>
          <w:rFonts w:ascii="Times New Roman" w:eastAsia="黑体" w:hAnsi="Times New Roman"/>
          <w:b/>
          <w:bCs/>
          <w:color w:val="000000"/>
          <w:sz w:val="28"/>
          <w:szCs w:val="28"/>
        </w:rPr>
        <w:t xml:space="preserve">3.5 知识库建设（并行）</w:t>
      </w:r>
    </w:p>
    <w:p>
      <w:pPr>
        <w:spacing w:after="60" w:line="360" w:lineRule="auto"/>
        <w:ind w:firstLine="480"/>
      </w:pPr>
      <w:r>
        <w:rPr>
          <w:rFonts w:ascii="Times New Roman" w:eastAsia="仿宋" w:hAnsi="Times New Roman"/>
          <w:sz w:val="24"/>
          <w:szCs w:val="24"/>
        </w:rPr>
        <w:t xml:space="preserve">阶段五：知识库建设（并行）（T0+10 ~ T0+35（第 2–5 周，与阶段三/四/六并行））：完成单位内各部门服务知识的收集、整理、导入与调优，形成可持续运营的单位知识库体系。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时间区间</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T0+10 ~ T0+35（第 2–5 周，与阶段三/四/六并行）</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阶段目标</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完成单位内各部门服务知识的收集、整理、导入与调优，形成可持续运营的单位知识库体系。</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主要工作</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知识目录与分类体系搭建；各部门知识收集与格式整理（FAQ 问答对、帮助文章）；批量导入与相似问法补充；机器人问答效果测试与命中率调优；知识运营规范移交。</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里程碑</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M8 知识库首轮导入完成（T0+25）、M10 知识库建设完成（T0+35）</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双方职责</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业主单位：各部门提供知识素材与业务审核；供应商：结构化整理、导入、调优与培训指导。</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准出条件</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知识库问答命中率达标（《需求确认书》约定口径），业主单位确认接收。</w:t>
            </w:r>
          </w:p>
        </w:tc>
      </w:tr>
    </w:tbl>
    <w:p>
      <w:pPr>
        <w:pStyle w:val="Heading2"/>
        <w:spacing w:after="100" w:before="200"/>
      </w:pPr>
      <w:r>
        <w:rPr>
          <w:rFonts w:ascii="Times New Roman" w:eastAsia="黑体" w:hAnsi="Times New Roman"/>
          <w:b/>
          <w:bCs/>
          <w:color w:val="000000"/>
          <w:sz w:val="28"/>
          <w:szCs w:val="28"/>
        </w:rPr>
        <w:t xml:space="preserve">3.6 系统测试</w:t>
      </w:r>
    </w:p>
    <w:p>
      <w:pPr>
        <w:spacing w:after="60" w:line="360" w:lineRule="auto"/>
        <w:ind w:firstLine="480"/>
      </w:pPr>
      <w:r>
        <w:rPr>
          <w:rFonts w:ascii="Times New Roman" w:eastAsia="仿宋" w:hAnsi="Times New Roman"/>
          <w:sz w:val="24"/>
          <w:szCs w:val="24"/>
        </w:rPr>
        <w:t xml:space="preserve">阶段六：系统测试（T0+30 ~ T0+42（第 5–6 周，30 天部署节点后进入））：完成功能测试、集成测试、性能测试与用户验收测试（UAT），确保各项指标满足采购需求。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时间区间</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T0+30 ~ T0+42（第 5–6 周，30 天部署节点后进入）</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阶段目标</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完成功能测试、集成测试、性能测试与用户验收测试（UAT），确保各项指标满足采购需求。</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主要工作</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功能测试（对照指标要求 12 项逐条核验）；集成回归（SSO/企微/APP/推送全链路）；性能测试（并发、响应时间）；安全测试（等保项核查）；UAT 用户验收测试与缺陷修复闭环。</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里程碑</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M11 系统测试通过（T0+42）</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双方职责</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业主单位：组织 UAT 与业务场景验证；供应商：测试执行与缺陷修复。</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准出条件</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UAT 缺陷全部关闭或降级处理，签署《测试报告》。</w:t>
            </w:r>
          </w:p>
        </w:tc>
      </w:tr>
    </w:tbl>
    <w:p>
      <w:pPr>
        <w:pStyle w:val="Heading2"/>
        <w:spacing w:after="100" w:before="200"/>
      </w:pPr>
      <w:r>
        <w:rPr>
          <w:rFonts w:ascii="Times New Roman" w:eastAsia="黑体" w:hAnsi="Times New Roman"/>
          <w:b/>
          <w:bCs/>
          <w:color w:val="000000"/>
          <w:sz w:val="28"/>
          <w:szCs w:val="28"/>
        </w:rPr>
        <w:t xml:space="preserve">3.7 用户培训</w:t>
      </w:r>
    </w:p>
    <w:p>
      <w:pPr>
        <w:spacing w:after="60" w:line="360" w:lineRule="auto"/>
        <w:ind w:firstLine="480"/>
      </w:pPr>
      <w:r>
        <w:rPr>
          <w:rFonts w:ascii="Times New Roman" w:eastAsia="仿宋" w:hAnsi="Times New Roman"/>
          <w:sz w:val="24"/>
          <w:szCs w:val="24"/>
        </w:rPr>
        <w:t xml:space="preserve">阶段七：用户培训（T0+35 ~ T0+45（第 6–7 周，与测试尾部并行））：完成系统管理员、运营人员、知识库建设三类实操培训（本计划仅排节点与场次，内容详见《培训方案》）。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时间区间</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T0+35 ~ T0+45（第 6–7 周，与测试尾部并行）</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阶段目标</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完成系统管理员、运营人员、知识库建设三类实操培训（本计划仅排节点与场次，内容详见《培训方案》）。</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主要工作</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系统管理员培训（部署运维、监控、备份恢复）；运营人员培训（工作台接待、工单、质检、统计）；知识库建设培训（知识整理、导入、调优规范）；培训考核与答疑。</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里程碑</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M12 用户培训完成（T0+45）</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双方职责</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业主单位：组织学员与场地；供应商：讲师、教材与考核（费用由供应商承担）。</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准出条件</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三类培训考核通过率达标，签署《培训完成确认单》。</w:t>
            </w:r>
          </w:p>
        </w:tc>
      </w:tr>
    </w:tbl>
    <w:p>
      <w:pPr>
        <w:pStyle w:val="Heading2"/>
        <w:spacing w:after="100" w:before="200"/>
      </w:pPr>
      <w:r>
        <w:rPr>
          <w:rFonts w:ascii="Times New Roman" w:eastAsia="黑体" w:hAnsi="Times New Roman"/>
          <w:b/>
          <w:bCs/>
          <w:color w:val="000000"/>
          <w:sz w:val="28"/>
          <w:szCs w:val="28"/>
        </w:rPr>
        <w:t xml:space="preserve">3.8 试运行</w:t>
      </w:r>
    </w:p>
    <w:p>
      <w:pPr>
        <w:spacing w:after="60" w:line="360" w:lineRule="auto"/>
        <w:ind w:firstLine="480"/>
      </w:pPr>
      <w:r>
        <w:rPr>
          <w:rFonts w:ascii="Times New Roman" w:eastAsia="仿宋" w:hAnsi="Times New Roman"/>
          <w:sz w:val="24"/>
          <w:szCs w:val="24"/>
        </w:rPr>
        <w:t xml:space="preserve">阶段八：试运行（T0+40 ~ T0+50（第 6–8 周））：以真实流量对系统进行不少于 7 天的试运行，验证服务能力与运营流程。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时间区间</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T0+40 ~ T0+50（第 6–8 周）</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阶段目标</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以真实流量对系统进行不少于 7 天的试运行，验证服务能力与运营流程。</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主要工作</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选取试点部门开放真实咨询流量；机器人与人工协同运营；监控核心指标（问答命中率、转人工率、满意度）；试运行问题清单跟踪与优化。</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里程碑</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M13 试运行通过（T0+50）</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双方职责</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业主单位：试点部门组织与反馈；供应商：驻场保障与快速优化。</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准出条件</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试运行指标达标、无未闭环重大问题，签署《试运行报告》。</w:t>
            </w:r>
          </w:p>
        </w:tc>
      </w:tr>
    </w:tbl>
    <w:p>
      <w:pPr>
        <w:pStyle w:val="Heading2"/>
        <w:spacing w:after="100" w:before="200"/>
      </w:pPr>
      <w:r>
        <w:rPr>
          <w:rFonts w:ascii="Times New Roman" w:eastAsia="黑体" w:hAnsi="Times New Roman"/>
          <w:b/>
          <w:bCs/>
          <w:color w:val="000000"/>
          <w:sz w:val="28"/>
          <w:szCs w:val="28"/>
        </w:rPr>
        <w:t xml:space="preserve">3.9 正式上线</w:t>
      </w:r>
    </w:p>
    <w:p>
      <w:pPr>
        <w:spacing w:after="60" w:line="360" w:lineRule="auto"/>
        <w:ind w:firstLine="480"/>
      </w:pPr>
      <w:r>
        <w:rPr>
          <w:rFonts w:ascii="Times New Roman" w:eastAsia="仿宋" w:hAnsi="Times New Roman"/>
          <w:sz w:val="24"/>
          <w:szCs w:val="24"/>
        </w:rPr>
        <w:t xml:space="preserve">阶段九：正式上线（T0+50 ~ T0+55（第 8 周））：完成上线切换，面向全体用户正式提供服务。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时间区间</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T0+50 ~ T0+55（第 8 周）</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阶段目标</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完成上线切换，面向全体用户正式提供服务。</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主要工作</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上线前检查（数据备份、回退预案就绪）；全渠道开放（网页/企微/APP）；上线观察期值守（一周重点保障）；应急响应机制启用。</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里程碑</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M14 正式上线（T0+55）</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双方职责</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业主单位：发布上线通知；供应商：上线实施与值守。</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准出条件</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上线切换完成，系统平稳运行。</w:t>
            </w:r>
          </w:p>
        </w:tc>
      </w:tr>
    </w:tbl>
    <w:p>
      <w:pPr>
        <w:pStyle w:val="Heading2"/>
        <w:spacing w:after="100" w:before="200"/>
      </w:pPr>
      <w:r>
        <w:rPr>
          <w:rFonts w:ascii="Times New Roman" w:eastAsia="黑体" w:hAnsi="Times New Roman"/>
          <w:b/>
          <w:bCs/>
          <w:color w:val="000000"/>
          <w:sz w:val="28"/>
          <w:szCs w:val="28"/>
        </w:rPr>
        <w:t xml:space="preserve">3.10 验收</w:t>
      </w:r>
    </w:p>
    <w:p>
      <w:pPr>
        <w:spacing w:after="60" w:line="360" w:lineRule="auto"/>
        <w:ind w:firstLine="480"/>
      </w:pPr>
      <w:r>
        <w:rPr>
          <w:rFonts w:ascii="Times New Roman" w:eastAsia="仿宋" w:hAnsi="Times New Roman"/>
          <w:sz w:val="24"/>
          <w:szCs w:val="24"/>
        </w:rPr>
        <w:t xml:space="preserve">阶段十：验收（T0+55 ~ T0+60（第 9 周））：完成验收材料整理与验收评审，具备验收条件（对齐合同签订后 60 天硬约束）。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时间区间</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T0+55 ~ T0+60（第 9 周）</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阶段目标</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完成验收材料整理与验收评审，具备验收条件（对齐合同签订后 60 天硬约束）。</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主要工作</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验收材料整理（部署/配置/测试/培训/试运行全套记录）；对照采购需求指标逐项核验演示；验收评审会；遗留问题清单与整改承诺。</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里程碑</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M15 具备验收条件（T0+60）</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双方职责</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业主单位：组织验收评审；供应商：材料准备与现场答辩。</w:t>
            </w:r>
          </w:p>
        </w:tc>
      </w:tr>
      <w:tr>
        <w:tc>
          <w:tcPr>
            <w:tcW w:type="dxa" w:w="1700"/>
            <w:shd w:fill="EDF1F8"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准出条件</w:t>
            </w:r>
          </w:p>
        </w:tc>
        <w:tc>
          <w:tcPr>
            <w:tcW w:type="dxa" w:w="7326"/>
            <w:tcMar>
              <w:top w:type="dxa" w:w="60"/>
              <w:left w:type="dxa" w:w="80"/>
              <w:bottom w:type="dxa" w:w="60"/>
              <w:right w:type="dxa" w:w="80"/>
            </w:tcMar>
            <w:vAlign w:val="center"/>
          </w:tcPr>
          <w:p>
            <w:pPr>
              <w:spacing w:line="276" w:lineRule="auto"/>
              <w:jc w:val="left"/>
            </w:pPr>
            <w:r>
              <w:rPr>
                <w:rFonts w:ascii="Times New Roman" w:eastAsia="仿宋" w:hAnsi="Times New Roman"/>
                <w:sz w:val="21"/>
                <w:szCs w:val="21"/>
              </w:rPr>
              <w:t xml:space="preserve">验收评审通过，进入三年免费维护期。</w:t>
            </w:r>
          </w:p>
        </w:tc>
      </w:tr>
    </w:tbl>
    <w:p>
      <w:pPr>
        <w:pageBreakBefore/>
      </w:pPr>
      <w:r>
        <w:rPr>
          <w:sz w:val="24"/>
          <w:szCs w:val="24"/>
        </w:rPr>
        <w:t xml:space="preserve"/>
      </w:r>
    </w:p>
    <w:p>
      <w:pPr>
        <w:pStyle w:val="Heading1"/>
        <w:spacing w:after="120" w:before="240"/>
      </w:pPr>
      <w:r>
        <w:rPr>
          <w:rFonts w:ascii="Times New Roman" w:eastAsia="黑体" w:hAnsi="Times New Roman"/>
          <w:b/>
          <w:bCs/>
          <w:color w:val="000000"/>
          <w:sz w:val="32"/>
          <w:szCs w:val="32"/>
        </w:rPr>
        <w:t xml:space="preserve">四、进度横道图（甘特图）</w:t>
      </w:r>
    </w:p>
    <w:p>
      <w:pPr>
        <w:spacing w:after="60" w:line="360" w:lineRule="auto"/>
        <w:ind w:firstLine="480"/>
      </w:pPr>
      <w:r>
        <w:rPr>
          <w:rFonts w:ascii="Times New Roman" w:eastAsia="仿宋" w:hAnsi="Times New Roman"/>
          <w:sz w:val="24"/>
          <w:szCs w:val="24"/>
        </w:rPr>
        <w:t xml:space="preserve">以周为粒度呈现十阶段的起止与并行关系（W1–W9 对应 T0+0 ~ T0+60；■ 表示该阶段在本周有主要活动）：</w:t>
      </w:r>
    </w:p>
    <w:p>
      <w:pPr>
        <w:spacing w:after="60" w:before="120"/>
        <w:jc w:val="center"/>
      </w:pPr>
      <w:r>
        <w:rPr>
          <w:rFonts w:ascii="Times New Roman" w:eastAsia="黑体" w:hAnsi="Times New Roman"/>
          <w:b/>
          <w:bCs/>
          <w:sz w:val="21"/>
          <w:szCs w:val="21"/>
        </w:rPr>
        <w:t xml:space="preserve">表 4-1 项目进度横道图</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00"/>
        <w:gridCol w:w="600"/>
        <w:gridCol w:w="600"/>
        <w:gridCol w:w="600"/>
        <w:gridCol w:w="600"/>
        <w:gridCol w:w="600"/>
        <w:gridCol w:w="600"/>
        <w:gridCol w:w="600"/>
      </w:tblGrid>
      <w:tr>
        <w:trPr>
          <w:tblHeader/>
        </w:trPr>
        <w:tc>
          <w:tcPr>
            <w:tcW w:type="dxa" w:w="22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阶段＼周次</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W1</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W2</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W3</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W4</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W5</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W6</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W7</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W8</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W9</w:t>
            </w:r>
          </w:p>
        </w:tc>
      </w:tr>
      <w:tr>
        <w:tc>
          <w:tcPr>
            <w:tcW w:type="dxa" w:w="22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（天数）</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1-7</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8-14</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15-21</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22-28</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29-35</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36-42</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43-49</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50-56</w:t>
            </w:r>
          </w:p>
        </w:tc>
        <w:tc>
          <w:tcPr>
            <w:tcW w:type="dxa" w:w="600"/>
            <w:shd w:fill="D9E2F3" w:color="auto" w:val="clear"/>
            <w:tcMar>
              <w:top w:type="dxa" w:w="40"/>
              <w:left w:type="dxa" w:w="40"/>
              <w:bottom w:type="dxa" w:w="40"/>
              <w:right w:type="dxa" w:w="40"/>
            </w:tcMar>
            <w:vAlign w:val="center"/>
          </w:tcPr>
          <w:p>
            <w:pPr>
              <w:spacing w:line="240" w:lineRule="auto"/>
              <w:jc w:val="center"/>
            </w:pPr>
            <w:r>
              <w:rPr>
                <w:rFonts w:ascii="Times New Roman" w:eastAsia="黑体" w:hAnsi="Times New Roman"/>
                <w:b/>
                <w:bCs/>
                <w:color w:val="000000"/>
                <w:sz w:val="18"/>
                <w:szCs w:val="18"/>
              </w:rPr>
              <w:t xml:space="preserve">57-60</w:t>
            </w:r>
          </w:p>
        </w:tc>
      </w:tr>
      <w:tr>
        <w:tc>
          <w:tcPr>
            <w:tcW w:type="dxa" w:w="22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1 需求确认</w:t>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r>
      <w:tr>
        <w:tc>
          <w:tcPr>
            <w:tcW w:type="dxa" w:w="22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2 系统部署</w:t>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r>
      <w:tr>
        <w:tc>
          <w:tcPr>
            <w:tcW w:type="dxa" w:w="22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3 功能配置</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r>
      <w:tr>
        <w:tc>
          <w:tcPr>
            <w:tcW w:type="dxa" w:w="22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4 集成对接</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r>
      <w:tr>
        <w:tc>
          <w:tcPr>
            <w:tcW w:type="dxa" w:w="22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5 知识库建设（并行）</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r>
      <w:tr>
        <w:tc>
          <w:tcPr>
            <w:tcW w:type="dxa" w:w="22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6 系统测试</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r>
      <w:tr>
        <w:tc>
          <w:tcPr>
            <w:tcW w:type="dxa" w:w="22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7 用户培训</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r>
      <w:tr>
        <w:tc>
          <w:tcPr>
            <w:tcW w:type="dxa" w:w="22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8 试运行</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r>
      <w:tr>
        <w:tc>
          <w:tcPr>
            <w:tcW w:type="dxa" w:w="22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9 正式上线</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r>
      <w:tr>
        <w:tc>
          <w:tcPr>
            <w:tcW w:type="dxa" w:w="22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10 验收</w:t>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000000"/>
                <w:sz w:val="20"/>
                <w:szCs w:val="20"/>
              </w:rPr>
              <w:t xml:space="preserve"/>
            </w:r>
          </w:p>
        </w:tc>
        <w:tc>
          <w:tcPr>
            <w:tcW w:type="dxa" w:w="600"/>
            <w:shd w:fill="4472C4" w:color="auto" w:val="clear"/>
            <w:tcMar>
              <w:top w:type="dxa" w:w="40"/>
              <w:left w:type="dxa" w:w="40"/>
              <w:bottom w:type="dxa" w:w="40"/>
              <w:right w:type="dxa" w:w="40"/>
            </w:tcMar>
            <w:vAlign w:val="center"/>
          </w:tcPr>
          <w:p>
            <w:pPr>
              <w:spacing w:line="240" w:lineRule="auto"/>
              <w:jc w:val="center"/>
            </w:pPr>
            <w:r>
              <w:rPr>
                <w:rFonts w:ascii="Times New Roman" w:eastAsia="仿宋" w:hAnsi="Times New Roman"/>
                <w:b w:val="false"/>
                <w:bCs w:val="false"/>
                <w:color w:val="FFFFFF"/>
                <w:sz w:val="20"/>
                <w:szCs w:val="20"/>
              </w:rPr>
              <w:t xml:space="preserve">■</w:t>
            </w:r>
          </w:p>
        </w:tc>
      </w:tr>
    </w:tbl>
    <w:p>
      <w:pPr>
        <w:spacing w:after="60" w:line="360" w:lineRule="auto"/>
        <w:ind w:firstLine="480"/>
      </w:pPr>
      <w:r>
        <w:rPr>
          <w:rFonts w:ascii="Times New Roman" w:eastAsia="仿宋" w:hAnsi="Times New Roman"/>
          <w:sz w:val="24"/>
          <w:szCs w:val="24"/>
        </w:rPr>
        <w:t xml:space="preserve">注：阶段五（知识库建设）为跨周并行支线；阶段六至八存在受控重叠（测试收尾与培训启动、培训收尾与试运行启动），重叠期资源在双周例会中统一调配。</w:t>
      </w:r>
    </w:p>
    <w:p>
      <w:pPr>
        <w:pStyle w:val="Heading1"/>
        <w:spacing w:after="120" w:before="240"/>
      </w:pPr>
      <w:r>
        <w:rPr>
          <w:rFonts w:ascii="Times New Roman" w:eastAsia="黑体" w:hAnsi="Times New Roman"/>
          <w:b/>
          <w:bCs/>
          <w:color w:val="000000"/>
          <w:sz w:val="32"/>
          <w:szCs w:val="32"/>
        </w:rPr>
        <w:t xml:space="preserve">五、关键节点与交付物清单</w:t>
      </w:r>
    </w:p>
    <w:p>
      <w:pPr>
        <w:spacing w:after="60" w:line="360" w:lineRule="auto"/>
        <w:ind w:firstLine="480"/>
      </w:pPr>
      <w:r>
        <w:rPr>
          <w:rFonts w:ascii="Times New Roman" w:eastAsia="仿宋" w:hAnsi="Times New Roman"/>
          <w:sz w:val="24"/>
          <w:szCs w:val="24"/>
        </w:rPr>
        <w:t xml:space="preserve">按时间顺序汇总各关键节点的交付物与签收方（与表 2-2 里程碑一一对应）：</w:t>
      </w:r>
    </w:p>
    <w:p>
      <w:pPr>
        <w:spacing w:after="60" w:before="120"/>
        <w:jc w:val="center"/>
      </w:pPr>
      <w:r>
        <w:rPr>
          <w:rFonts w:ascii="Times New Roman" w:eastAsia="黑体" w:hAnsi="Times New Roman"/>
          <w:b/>
          <w:bCs/>
          <w:sz w:val="21"/>
          <w:szCs w:val="21"/>
        </w:rPr>
        <w:t xml:space="preserve">表 5-1 关键节点交付物清单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800"/>
        <w:gridCol w:w="1426"/>
      </w:tblGrid>
      <w:tr>
        <w:trPr>
          <w:tblHeader/>
        </w:trPr>
        <w:tc>
          <w:tcPr>
            <w:tcW w:type="dxa" w:w="12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时间节点</w:t>
            </w:r>
          </w:p>
        </w:tc>
        <w:tc>
          <w:tcPr>
            <w:tcW w:type="dxa" w:w="26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里程碑</w:t>
            </w:r>
          </w:p>
        </w:tc>
        <w:tc>
          <w:tcPr>
            <w:tcW w:type="dxa" w:w="38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交付物</w:t>
            </w:r>
          </w:p>
        </w:tc>
        <w:tc>
          <w:tcPr>
            <w:tcW w:type="dxa" w:w="14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签收方</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T0+3</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M1 实施环境就绪</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服务器、网络与基础环境检查单</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T0+5</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M2 需求确认完成</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《需求确认书》</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双方</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T0+5</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M3 中间件就绪</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中间件部署验证记录</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供应商</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T0+7</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M4 应用部署完成</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《部署完成确认单》（冒烟通过）</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双方</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T0+14</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M5 基础功能配置完成</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组织/权限/账号配置确认</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T0+18</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M6 智能功能配置完成</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《功能配置确认单》</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T0+20</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M7 SSO 集成联调通过</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SSO 联调测试记录</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双方</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T0+25</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M8 知识库首轮导入完成</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知识导入清单与抽检记录</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T0+25</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M9 全渠道集成完成</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《集成验证报告》</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双方</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T0+35</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M10 知识库建设完成</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知识库验收单（命中率达标）</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T0+42</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M11 系统测试通过</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《测试报告》（UAT 闭环）</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T0+45</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M12 用户培训完成</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《培训完成确认单》</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T0+50</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M13 试运行通过</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《试运行报告》</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双方</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T0+55</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M14 正式上线</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上线切换记录</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r>
        <w:tc>
          <w:tcPr>
            <w:tcW w:type="dxa" w:w="12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T0+60</w:t>
            </w:r>
          </w:p>
        </w:tc>
        <w:tc>
          <w:tcPr>
            <w:tcW w:type="dxa" w:w="26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M15 具备验收条件</w:t>
            </w:r>
          </w:p>
        </w:tc>
        <w:tc>
          <w:tcPr>
            <w:tcW w:type="dxa" w:w="38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验收材料全套 + 验收评审结论</w:t>
            </w:r>
          </w:p>
        </w:tc>
        <w:tc>
          <w:tcPr>
            <w:tcW w:type="dxa" w:w="1426"/>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业主单位</w:t>
            </w:r>
          </w:p>
        </w:tc>
      </w:tr>
    </w:tbl>
    <w:p>
      <w:pPr>
        <w:spacing w:after="60" w:line="360" w:lineRule="auto"/>
        <w:ind w:firstLine="480"/>
      </w:pPr>
      <w:r>
        <w:rPr>
          <w:rFonts w:ascii="Times New Roman" w:eastAsia="仿宋" w:hAnsi="Times New Roman"/>
          <w:sz w:val="24"/>
          <w:szCs w:val="24"/>
        </w:rPr>
        <w:t xml:space="preserve">全部交付物纸质版一式两份（双方各执一份）并同步电子版归档，作为验收材料组成部分。</w:t>
      </w:r>
    </w:p>
    <w:p>
      <w:pPr>
        <w:pStyle w:val="Heading1"/>
        <w:spacing w:after="120" w:before="240"/>
      </w:pPr>
      <w:r>
        <w:rPr>
          <w:rFonts w:ascii="Times New Roman" w:eastAsia="黑体" w:hAnsi="Times New Roman"/>
          <w:b/>
          <w:bCs/>
          <w:color w:val="000000"/>
          <w:sz w:val="32"/>
          <w:szCs w:val="32"/>
        </w:rPr>
        <w:t xml:space="preserve">六、进度保障措施</w:t>
      </w:r>
    </w:p>
    <w:p>
      <w:pPr>
        <w:pStyle w:val="ListParagraph"/>
        <w:numPr>
          <w:ilvl w:val="0"/>
          <w:numId w:val="2"/>
        </w:numPr>
        <w:spacing w:after="40" w:line="360" w:lineRule="auto"/>
      </w:pPr>
      <w:r>
        <w:rPr>
          <w:rFonts w:ascii="Times New Roman" w:eastAsia="仿宋" w:hAnsi="Times New Roman"/>
          <w:b/>
          <w:bCs/>
          <w:sz w:val="24"/>
          <w:szCs w:val="24"/>
        </w:rPr>
        <w:t xml:space="preserve">人员保障：</w:t>
      </w:r>
      <w:r>
        <w:rPr>
          <w:rFonts w:ascii="Times New Roman" w:eastAsia="仿宋" w:hAnsi="Times New Roman"/>
          <w:sz w:val="24"/>
          <w:szCs w:val="24"/>
        </w:rPr>
        <w:t xml:space="preserve">人员保障：项目组按《应急预案和处理措施》第二章配置，实施期现场值守 + 远程支持，核心岗位 AB 角互备；</w:t>
      </w:r>
    </w:p>
    <w:p>
      <w:pPr>
        <w:pStyle w:val="ListParagraph"/>
        <w:numPr>
          <w:ilvl w:val="0"/>
          <w:numId w:val="2"/>
        </w:numPr>
        <w:spacing w:after="40" w:line="360" w:lineRule="auto"/>
      </w:pPr>
      <w:r>
        <w:rPr>
          <w:rFonts w:ascii="Times New Roman" w:eastAsia="仿宋" w:hAnsi="Times New Roman"/>
          <w:sz w:val="24"/>
          <w:szCs w:val="24"/>
        </w:rPr>
        <w:t xml:space="preserve">并行策略：知识库建设、培训准备等非关键路径工作提前启动、并行推进，为关键路径留出缓冲；</w:t>
      </w:r>
    </w:p>
    <w:p>
      <w:pPr>
        <w:pStyle w:val="ListParagraph"/>
        <w:numPr>
          <w:ilvl w:val="0"/>
          <w:numId w:val="2"/>
        </w:numPr>
        <w:spacing w:after="40" w:line="360" w:lineRule="auto"/>
      </w:pPr>
      <w:r>
        <w:rPr>
          <w:rFonts w:ascii="Times New Roman" w:eastAsia="仿宋" w:hAnsi="Times New Roman"/>
          <w:sz w:val="24"/>
          <w:szCs w:val="24"/>
        </w:rPr>
        <w:t xml:space="preserve">环境预演：正式部署前在测试环境完成全流程预演，压缩现场部署耗时（对应应急措施 R04/R06 预案）；</w:t>
      </w:r>
    </w:p>
    <w:p>
      <w:pPr>
        <w:pStyle w:val="ListParagraph"/>
        <w:numPr>
          <w:ilvl w:val="0"/>
          <w:numId w:val="2"/>
        </w:numPr>
        <w:spacing w:after="40" w:line="360" w:lineRule="auto"/>
      </w:pPr>
      <w:r>
        <w:rPr>
          <w:rFonts w:ascii="Times New Roman" w:eastAsia="仿宋" w:hAnsi="Times New Roman"/>
          <w:sz w:val="24"/>
          <w:szCs w:val="24"/>
        </w:rPr>
        <w:t xml:space="preserve">集成前置：集成参数申请在需求确认阶段即行发起，避免配置审核周期挤占联调时间（对应 R09 预案）；</w:t>
      </w:r>
    </w:p>
    <w:p>
      <w:pPr>
        <w:pStyle w:val="ListParagraph"/>
        <w:numPr>
          <w:ilvl w:val="0"/>
          <w:numId w:val="2"/>
        </w:numPr>
        <w:spacing w:after="40" w:line="360" w:lineRule="auto"/>
      </w:pPr>
      <w:r>
        <w:rPr>
          <w:rFonts w:ascii="Times New Roman" w:eastAsia="仿宋" w:hAnsi="Times New Roman"/>
          <w:sz w:val="24"/>
          <w:szCs w:val="24"/>
        </w:rPr>
        <w:t xml:space="preserve">周报例会：通过周报与双周例会实现偏差早发现、早处置。</w:t>
      </w:r>
    </w:p>
    <w:p>
      <w:pPr>
        <w:pStyle w:val="Heading1"/>
        <w:spacing w:after="120" w:before="240"/>
      </w:pPr>
      <w:r>
        <w:rPr>
          <w:rFonts w:ascii="Times New Roman" w:eastAsia="黑体" w:hAnsi="Times New Roman"/>
          <w:b/>
          <w:bCs/>
          <w:color w:val="000000"/>
          <w:sz w:val="32"/>
          <w:szCs w:val="32"/>
        </w:rPr>
        <w:t xml:space="preserve">七、进度偏差处理</w:t>
      </w:r>
    </w:p>
    <w:p>
      <w:pPr>
        <w:spacing w:after="60" w:line="360" w:lineRule="auto"/>
        <w:ind w:firstLine="480"/>
      </w:pPr>
      <w:r>
        <w:rPr>
          <w:rFonts w:ascii="Times New Roman" w:eastAsia="仿宋" w:hAnsi="Times New Roman"/>
          <w:sz w:val="24"/>
          <w:szCs w:val="24"/>
        </w:rPr>
        <w:t xml:space="preserve">实行三级偏差预警与处置机制：</w:t>
      </w:r>
    </w:p>
    <w:p>
      <w:pPr>
        <w:spacing w:after="60" w:before="120"/>
        <w:jc w:val="center"/>
      </w:pPr>
      <w:r>
        <w:rPr>
          <w:rFonts w:ascii="Times New Roman" w:eastAsia="黑体" w:hAnsi="Times New Roman"/>
          <w:b/>
          <w:bCs/>
          <w:sz w:val="21"/>
          <w:szCs w:val="21"/>
        </w:rPr>
        <w:t xml:space="preserve">表 7-1 进度偏差分级处置表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级别</w:t>
            </w:r>
          </w:p>
        </w:tc>
        <w:tc>
          <w:tcPr>
            <w:tcW w:type="dxa" w:w="3200"/>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判定标准</w:t>
            </w:r>
          </w:p>
        </w:tc>
        <w:tc>
          <w:tcPr>
            <w:tcW w:type="dxa" w:w="4326"/>
            <w:shd w:fill="D9E2F3" w:color="auto" w:val="clear"/>
            <w:tcMar>
              <w:top w:type="dxa" w:w="60"/>
              <w:left w:type="dxa" w:w="80"/>
              <w:bottom w:type="dxa" w:w="60"/>
              <w:right w:type="dxa" w:w="80"/>
            </w:tcMar>
            <w:vAlign w:val="center"/>
          </w:tcPr>
          <w:p>
            <w:pPr>
              <w:spacing w:line="276" w:lineRule="auto"/>
              <w:jc w:val="center"/>
            </w:pPr>
            <w:r>
              <w:rPr>
                <w:rFonts w:ascii="Times New Roman" w:eastAsia="黑体" w:hAnsi="Times New Roman"/>
                <w:b/>
                <w:bCs/>
                <w:sz w:val="21"/>
                <w:szCs w:val="21"/>
              </w:rPr>
              <w:t xml:space="preserve">处置措施</w:t>
            </w:r>
          </w:p>
        </w:tc>
      </w:tr>
      <w:tr>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轻微偏差</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单项工作延迟 ≤2 天，未影响里程碑</w:t>
            </w:r>
          </w:p>
        </w:tc>
        <w:tc>
          <w:tcPr>
            <w:tcW w:type="dxa" w:w="4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项目组内部调配赶工，周报中说明</w:t>
            </w:r>
          </w:p>
        </w:tc>
      </w:tr>
      <w:tr>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一般偏差</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里程碑延迟 3–5 天</w:t>
            </w:r>
          </w:p>
        </w:tc>
        <w:tc>
          <w:tcPr>
            <w:tcW w:type="dxa" w:w="4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启动赶工措施（加派人力/延长工时/并行重排），例会专项评审，赶工计划报业主单位备案</w:t>
            </w:r>
          </w:p>
        </w:tc>
      </w:tr>
      <w:tr>
        <w:tc>
          <w:tcPr>
            <w:tcW w:type="dxa" w:w="1500"/>
            <w:tcMar>
              <w:top w:type="dxa" w:w="60"/>
              <w:left w:type="dxa" w:w="80"/>
              <w:bottom w:type="dxa" w:w="60"/>
              <w:right w:type="dxa" w:w="80"/>
            </w:tcMar>
            <w:vAlign w:val="center"/>
          </w:tcPr>
          <w:p>
            <w:pPr>
              <w:spacing w:line="276" w:lineRule="auto"/>
              <w:jc w:val="center"/>
            </w:pPr>
            <w:r>
              <w:rPr>
                <w:rFonts w:ascii="Times New Roman" w:eastAsia="仿宋" w:hAnsi="Times New Roman"/>
                <w:b w:val="false"/>
                <w:bCs w:val="false"/>
                <w:sz w:val="21"/>
                <w:szCs w:val="21"/>
              </w:rPr>
              <w:t xml:space="preserve">严重偏差</w:t>
            </w:r>
          </w:p>
        </w:tc>
        <w:tc>
          <w:tcPr>
            <w:tcW w:type="dxa" w:w="3200"/>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里程碑延迟 &gt;5 天或危及 30/60 天节点</w:t>
            </w:r>
          </w:p>
        </w:tc>
        <w:tc>
          <w:tcPr>
            <w:tcW w:type="dxa" w:w="4326"/>
            <w:tcMar>
              <w:top w:type="dxa" w:w="60"/>
              <w:left w:type="dxa" w:w="80"/>
              <w:bottom w:type="dxa" w:w="60"/>
              <w:right w:type="dxa" w:w="80"/>
            </w:tcMar>
            <w:vAlign w:val="center"/>
          </w:tcPr>
          <w:p>
            <w:pPr>
              <w:spacing w:line="276" w:lineRule="auto"/>
              <w:jc w:val="left"/>
            </w:pPr>
            <w:r>
              <w:rPr>
                <w:rFonts w:ascii="Times New Roman" w:eastAsia="仿宋" w:hAnsi="Times New Roman"/>
                <w:b w:val="false"/>
                <w:bCs w:val="false"/>
                <w:sz w:val="21"/>
                <w:szCs w:val="21"/>
              </w:rPr>
              <w:t xml:space="preserve">上报双方项目负责人，制定专项追赶方案；必要时启用应急预案资源，确保总工期不突破</w:t>
            </w:r>
          </w:p>
        </w:tc>
      </w:tr>
    </w:tbl>
    <w:p>
      <w:pPr>
        <w:spacing w:after="60" w:line="360" w:lineRule="auto"/>
        <w:ind w:firstLine="480"/>
      </w:pPr>
      <w:r>
        <w:rPr>
          <w:rFonts w:ascii="Times New Roman" w:eastAsia="仿宋" w:hAnsi="Times New Roman"/>
          <w:sz w:val="24"/>
          <w:szCs w:val="24"/>
        </w:rPr>
        <w:t xml:space="preserve">任何里程碑计划的正式变更须经双方书面确认，纳入变更记录管理；因业主单位侧资源或审核原因导致的延迟，双方协商顺延并书面备案。</w:t>
      </w:r>
    </w:p>
    <w:p>
      <w:pPr>
        <w:pStyle w:val="Heading1"/>
        <w:spacing w:after="120" w:before="240"/>
      </w:pPr>
      <w:r>
        <w:rPr>
          <w:rFonts w:ascii="Times New Roman" w:eastAsia="黑体" w:hAnsi="Times New Roman"/>
          <w:b/>
          <w:bCs/>
          <w:color w:val="000000"/>
          <w:sz w:val="32"/>
          <w:szCs w:val="32"/>
        </w:rPr>
        <w:t xml:space="preserve">八、附则</w:t>
      </w:r>
    </w:p>
    <w:p>
      <w:pPr>
        <w:pStyle w:val="ListParagraph"/>
        <w:numPr>
          <w:ilvl w:val="0"/>
          <w:numId w:val="2"/>
        </w:numPr>
        <w:spacing w:after="40" w:line="360" w:lineRule="auto"/>
      </w:pPr>
      <w:r>
        <w:rPr>
          <w:rFonts w:ascii="Times New Roman" w:eastAsia="仿宋" w:hAnsi="Times New Roman"/>
          <w:sz w:val="24"/>
          <w:szCs w:val="24"/>
        </w:rPr>
        <w:t xml:space="preserve">本计划与《项目总体实施方案》第七章实施计划互为引用，时间基准与锚点里程碑完全一致；</w:t>
      </w:r>
    </w:p>
    <w:p>
      <w:pPr>
        <w:pStyle w:val="ListParagraph"/>
        <w:numPr>
          <w:ilvl w:val="0"/>
          <w:numId w:val="2"/>
        </w:numPr>
        <w:spacing w:after="40" w:line="360" w:lineRule="auto"/>
      </w:pPr>
      <w:r>
        <w:rPr>
          <w:rFonts w:ascii="Times New Roman" w:eastAsia="仿宋" w:hAnsi="Times New Roman"/>
          <w:sz w:val="24"/>
          <w:szCs w:val="24"/>
        </w:rPr>
        <w:t xml:space="preserve">培训内容、讲师安排与考核标准详见《培训方案》文档，本计划仅约定时间节点与场次；</w:t>
      </w:r>
    </w:p>
    <w:p>
      <w:pPr>
        <w:pStyle w:val="ListParagraph"/>
        <w:numPr>
          <w:ilvl w:val="0"/>
          <w:numId w:val="2"/>
        </w:numPr>
        <w:spacing w:after="40" w:line="360" w:lineRule="auto"/>
      </w:pPr>
      <w:r>
        <w:rPr>
          <w:rFonts w:ascii="Times New Roman" w:eastAsia="仿宋" w:hAnsi="Times New Roman"/>
          <w:sz w:val="24"/>
          <w:szCs w:val="24"/>
        </w:rPr>
        <w:t xml:space="preserve">集成技术细节详见《集成标准》，进度风险处置详见《应急预案和处理措施》；</w:t>
      </w:r>
    </w:p>
    <w:p>
      <w:pPr>
        <w:pStyle w:val="ListParagraph"/>
        <w:numPr>
          <w:ilvl w:val="0"/>
          <w:numId w:val="2"/>
        </w:numPr>
        <w:spacing w:after="40" w:line="360" w:lineRule="auto"/>
      </w:pPr>
      <w:r>
        <w:rPr>
          <w:rFonts w:ascii="Times New Roman" w:eastAsia="仿宋" w:hAnsi="Times New Roman"/>
          <w:sz w:val="24"/>
          <w:szCs w:val="24"/>
        </w:rPr>
        <w:t xml:space="preserve">三年免费维护期自验收合格之日起算，维护期服务安排详见售后服务承诺。</w:t>
      </w:r>
    </w:p>
    <w:p>
      <w:pPr>
        <w:spacing w:after="60" w:line="360" w:lineRule="auto"/>
        <w:ind w:firstLine="480"/>
      </w:pPr>
      <w:r>
        <w:rPr>
          <w:rFonts w:ascii="Times New Roman" w:eastAsia="仿宋" w:hAnsi="Times New Roman"/>
          <w:sz w:val="24"/>
          <w:szCs w:val="24"/>
        </w:rPr>
        <w:t xml:space="preserve"> </w:t>
      </w:r>
    </w:p>
    <w:p>
      <w:pPr>
        <w:spacing w:after="60" w:line="360" w:lineRule="auto"/>
        <w:jc w:val="center"/>
      </w:pPr>
      <w:r>
        <w:rPr>
          <w:rFonts w:ascii="Times New Roman" w:eastAsia="仿宋" w:hAnsi="Times New Roman"/>
          <w:sz w:val="24"/>
          <w:szCs w:val="24"/>
        </w:rPr>
        <w:t xml:space="preserve">（全文完）</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仿宋" w:hAnsi="Times New Roman"/>
        <w:color w:val="808080"/>
        <w:sz w:val="18"/>
        <w:szCs w:val="18"/>
      </w:rPr>
      <w:t xml:space="preserve">第 </w:t>
      <w:fldChar w:fldCharType="begin"/>
      <w:instrText xml:space="preserve">PAGE</w:instrText>
      <w:fldChar w:fldCharType="separate"/>
      <w:fldChar w:fldCharType="end"/>
      <w:t xml:space="preserve"> 页 / 共 </w:t>
      <w:fldChar w:fldCharType="begin"/>
      <w:instrText xml:space="preserve">NUMPAGES</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center"/>
    </w:pPr>
    <w:r>
      <w:rPr>
        <w:rFonts w:ascii="Times New Roman" w:eastAsia="仿宋" w:hAnsi="Times New Roman"/>
        <w:color w:val="808080"/>
        <w:sz w:val="18"/>
        <w:szCs w:val="18"/>
      </w:rPr>
      <w:t xml:space="preserve">项目实施进度计划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仿宋"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2026-08-28T03:30:38.059Z</dcterms:created>
  <dcterms:modified xsi:type="dcterms:W3CDTF">2026-08-28T03:30:38.060Z</dcterms:modified>
</cp:coreProperties>
</file>

<file path=docProps/custom.xml><?xml version="1.0" encoding="utf-8"?>
<Properties xmlns="http://schemas.openxmlformats.org/officeDocument/2006/custom-properties" xmlns:vt="http://schemas.openxmlformats.org/officeDocument/2006/docPropsVTypes"/>
</file>