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eastAsia="仿宋" w:hAnsi="Times New Roman"/>
          <w:sz w:val="24"/>
          <w:szCs w:val="24"/>
        </w:rPr>
        <w:t xml:space="preserve"/>
      </w:r>
    </w:p>
    <w:p>
      <w:pPr>
        <w:spacing w:after="300"/>
        <w:jc w:val="center"/>
      </w:pPr>
      <w:r>
        <w:rPr>
          <w:rFonts w:ascii="Times New Roman" w:eastAsia="黑体" w:hAnsi="Times New Roman"/>
          <w:b/>
          <w:bCs/>
          <w:sz w:val="52"/>
          <w:szCs w:val="52"/>
        </w:rPr>
        <w:t xml:space="preserve">集 成 标 准</w:t>
      </w:r>
    </w:p>
    <w:p>
      <w:pPr>
        <w:spacing w:after="2400"/>
        <w:jc w:val="center"/>
      </w:pPr>
      <w:r>
        <w:rPr>
          <w:rFonts w:ascii="Times New Roman" w:eastAsia="黑体" w:hAnsi="Times New Roman"/>
          <w:b/>
          <w:bCs/>
          <w:sz w:val="36"/>
          <w:szCs w:val="36"/>
        </w:rPr>
        <w:t xml:space="preserve">微语智能客服平台</w:t>
      </w:r>
    </w:p>
    <w:p>
      <w:pPr>
        <w:spacing w:after="160"/>
        <w:jc w:val="center"/>
      </w:pPr>
      <w:r>
        <w:rPr>
          <w:rFonts w:ascii="Times New Roman" w:eastAsia="仿宋" w:hAnsi="Times New Roman"/>
          <w:sz w:val="28"/>
          <w:szCs w:val="28"/>
        </w:rPr>
        <w:t xml:space="preserve">项目名称：业主单位全场景云客服平台建设及运营项目</w:t>
      </w:r>
    </w:p>
    <w:p>
      <w:pPr>
        <w:spacing w:after="160"/>
        <w:jc w:val="center"/>
      </w:pPr>
      <w:r>
        <w:rPr>
          <w:rFonts w:ascii="Times New Roman" w:eastAsia="仿宋" w:hAnsi="Times New Roman"/>
          <w:sz w:val="28"/>
          <w:szCs w:val="28"/>
        </w:rPr>
        <w:t xml:space="preserve">合同编号：WY-KFKFPT-2026</w:t>
      </w:r>
    </w:p>
    <w:p>
      <w:pPr>
        <w:spacing w:after="160"/>
        <w:jc w:val="center"/>
      </w:pPr>
      <w:r>
        <w:rPr>
          <w:rFonts w:ascii="Times New Roman" w:eastAsia="仿宋" w:hAnsi="Times New Roman"/>
          <w:sz w:val="28"/>
          <w:szCs w:val="28"/>
        </w:rPr>
        <w:t xml:space="preserve">供应商：北京微语天下科技有限公司</w:t>
      </w:r>
    </w:p>
    <w:p>
      <w:pPr>
        <w:jc w:val="center"/>
      </w:pPr>
      <w:r>
        <w:rPr>
          <w:rFonts w:ascii="Times New Roman" w:eastAsia="仿宋" w:hAnsi="Times New Roman"/>
          <w:sz w:val="28"/>
          <w:szCs w:val="28"/>
        </w:rPr>
        <w:t xml:space="preserve">日期：&lt;年&gt;年&lt;月&gt;月</w:t>
      </w:r>
    </w:p>
    <w:p>
      <w:pPr>
        <w:pageBreakBefore/>
      </w:pPr>
      <w:r>
        <w:rPr>
          <w:sz w:val="24"/>
          <w:szCs w:val="24"/>
        </w:rPr>
        <w:t xml:space="preserve"/>
      </w:r>
    </w:p>
    <w:p>
      <w:pPr>
        <w:spacing w:after="200"/>
        <w:jc w:val="center"/>
      </w:pPr>
      <w:r>
        <w:rPr>
          <w:rFonts w:ascii="Times New Roman" w:eastAsia="黑体" w:hAnsi="Times New Roman"/>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一、总则</w:t>
      </w:r>
    </w:p>
    <w:p>
      <w:pPr>
        <w:pStyle w:val="Heading2"/>
        <w:spacing w:after="100" w:before="200"/>
      </w:pPr>
      <w:r>
        <w:rPr>
          <w:rFonts w:ascii="Times New Roman" w:eastAsia="黑体" w:hAnsi="Times New Roman"/>
          <w:b/>
          <w:bCs/>
          <w:color w:val="000000"/>
          <w:sz w:val="28"/>
          <w:szCs w:val="28"/>
        </w:rPr>
        <w:t xml:space="preserve">1.1 编制目的与适用范围</w:t>
      </w:r>
    </w:p>
    <w:p>
      <w:pPr>
        <w:spacing w:after="60" w:line="360" w:lineRule="auto"/>
        <w:ind w:firstLine="480"/>
      </w:pPr>
      <w:r>
        <w:rPr>
          <w:rFonts w:ascii="Times New Roman" w:eastAsia="仿宋" w:hAnsi="Times New Roman"/>
          <w:sz w:val="24"/>
          <w:szCs w:val="24"/>
        </w:rPr>
        <w:t xml:space="preserve">本标准规定微语智能客服平台与业主单位各信息化平台的集成技术规范，涵盖统一身份认证系统、企业微信平台、移动端 APP、统一消息推送平台四类集成对象，并提供集成所需的全部 API 接口与技术文档说明。本标准适用于项目实施阶段的集成对接开发、联调测试与验收，以及维护期的接口变更管理。</w:t>
      </w:r>
    </w:p>
    <w:p>
      <w:pPr>
        <w:pStyle w:val="Heading2"/>
        <w:spacing w:after="100" w:before="200"/>
      </w:pPr>
      <w:r>
        <w:rPr>
          <w:rFonts w:ascii="Times New Roman" w:eastAsia="黑体" w:hAnsi="Times New Roman"/>
          <w:b/>
          <w:bCs/>
          <w:color w:val="000000"/>
          <w:sz w:val="28"/>
          <w:szCs w:val="28"/>
        </w:rPr>
        <w:t xml:space="preserve">1.2 集成总体架构</w:t>
      </w:r>
    </w:p>
    <w:p>
      <w:pPr>
        <w:spacing w:after="60" w:line="360" w:lineRule="auto"/>
        <w:ind w:firstLine="480"/>
      </w:pPr>
      <w:r>
        <w:rPr>
          <w:rFonts w:ascii="Times New Roman" w:eastAsia="仿宋" w:hAnsi="Times New Roman"/>
          <w:sz w:val="24"/>
          <w:szCs w:val="24"/>
        </w:rPr>
        <w:t xml:space="preserve">平台集成采用标准协议、松耦合架构。统一身份认证系统通过 CAS/OAuth2 协议与平台完成单点登录与用户属性同步；企业微信平台通过自建应用回调与消息接口实现双向消息互通与通讯录同步；移动端 APP 通过 H5 页面嵌入方式集成数字员工服务窗口；统一消息推送平台通过 Webhook 事件回调与 REST API 实现消息统一推送。全部集成通道均基于 HTTPS/WSS 加密传输，平台侧仅对外开放 80/443 端口。</w:t>
      </w:r>
    </w:p>
    <w:p>
      <w:pPr>
        <w:pStyle w:val="Heading2"/>
        <w:spacing w:after="100" w:before="200"/>
      </w:pPr>
      <w:r>
        <w:rPr>
          <w:rFonts w:ascii="Times New Roman" w:eastAsia="黑体" w:hAnsi="Times New Roman"/>
          <w:b/>
          <w:bCs/>
          <w:color w:val="000000"/>
          <w:sz w:val="28"/>
          <w:szCs w:val="28"/>
        </w:rPr>
        <w:t xml:space="preserve">1.3 术语定义</w:t>
      </w:r>
    </w:p>
    <w:p>
      <w:pPr>
        <w:spacing w:after="60" w:before="120"/>
        <w:jc w:val="center"/>
      </w:pPr>
      <w:r>
        <w:rPr>
          <w:rFonts w:ascii="Times New Roman" w:eastAsia="黑体" w:hAnsi="Times New Roman"/>
          <w:b/>
          <w:bCs/>
          <w:sz w:val="21"/>
          <w:szCs w:val="21"/>
        </w:rPr>
        <w:t xml:space="preserve">表 1-1 术语定义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术语</w:t>
            </w:r>
          </w:p>
        </w:tc>
        <w:tc>
          <w:tcPr>
            <w:tcW w:type="dxa" w:w="7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定义</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SSO</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Single Sign-On，单点登录，用户登录一次即可访问所有相互信任的系统</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CAS</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Central Authentication Service，中央认证服务协议，统一认证主流标准</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OAuth2/OIDC</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开放授权协议 2.0 及其上的身份认证层开放标准</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H5</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基于 HTML5 的移动端网页技术</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Webhook</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事件驱动的反向 API 回调机制</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AccessToken</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 API 访问令牌，用于接口调用鉴权</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CorpID</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企业微信唯一企业标识</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回调 URL</w:t>
            </w:r>
          </w:p>
        </w:tc>
        <w:tc>
          <w:tcPr>
            <w:tcW w:type="dxa" w:w="72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企业微信将消息事件推送至平台的地址</w:t>
            </w:r>
          </w:p>
        </w:tc>
      </w:tr>
    </w:tbl>
    <w:p>
      <w:pPr>
        <w:pStyle w:val="Heading2"/>
        <w:spacing w:after="100" w:before="200"/>
      </w:pPr>
      <w:r>
        <w:rPr>
          <w:rFonts w:ascii="Times New Roman" w:eastAsia="黑体" w:hAnsi="Times New Roman"/>
          <w:b/>
          <w:bCs/>
          <w:color w:val="000000"/>
          <w:sz w:val="28"/>
          <w:szCs w:val="28"/>
        </w:rPr>
        <w:t xml:space="preserve">1.4 通用技术约定</w:t>
      </w:r>
    </w:p>
    <w:p>
      <w:pPr>
        <w:pStyle w:val="ListParagraph"/>
        <w:numPr>
          <w:ilvl w:val="0"/>
          <w:numId w:val="2"/>
        </w:numPr>
        <w:spacing w:after="40" w:line="360" w:lineRule="auto"/>
      </w:pPr>
      <w:r>
        <w:rPr>
          <w:rFonts w:ascii="Times New Roman" w:eastAsia="仿宋" w:hAnsi="Times New Roman"/>
          <w:sz w:val="24"/>
          <w:szCs w:val="24"/>
        </w:rPr>
        <w:t xml:space="preserve">传输协议：全部接口基于 HTTPS（WebSocket 使用 WSS 加密通道），TLS 1.2 及以上；</w:t>
      </w:r>
    </w:p>
    <w:p>
      <w:pPr>
        <w:pStyle w:val="ListParagraph"/>
        <w:numPr>
          <w:ilvl w:val="0"/>
          <w:numId w:val="2"/>
        </w:numPr>
        <w:spacing w:after="40" w:line="360" w:lineRule="auto"/>
      </w:pPr>
      <w:r>
        <w:rPr>
          <w:rFonts w:ascii="Times New Roman" w:eastAsia="仿宋" w:hAnsi="Times New Roman"/>
          <w:sz w:val="24"/>
          <w:szCs w:val="24"/>
        </w:rPr>
        <w:t xml:space="preserve">字符编码：统一采用 UTF-8；</w:t>
      </w:r>
    </w:p>
    <w:p>
      <w:pPr>
        <w:pStyle w:val="ListParagraph"/>
        <w:numPr>
          <w:ilvl w:val="0"/>
          <w:numId w:val="2"/>
        </w:numPr>
        <w:spacing w:after="40" w:line="360" w:lineRule="auto"/>
      </w:pPr>
      <w:r>
        <w:rPr>
          <w:rFonts w:ascii="Times New Roman" w:eastAsia="仿宋" w:hAnsi="Times New Roman"/>
          <w:sz w:val="24"/>
          <w:szCs w:val="24"/>
        </w:rPr>
        <w:t xml:space="preserve">数据格式：请求与响应统一采用 JSON；</w:t>
      </w:r>
    </w:p>
    <w:p>
      <w:pPr>
        <w:pStyle w:val="ListParagraph"/>
        <w:numPr>
          <w:ilvl w:val="0"/>
          <w:numId w:val="2"/>
        </w:numPr>
        <w:spacing w:after="40" w:line="360" w:lineRule="auto"/>
      </w:pPr>
      <w:r>
        <w:rPr>
          <w:rFonts w:ascii="Times New Roman" w:eastAsia="仿宋" w:hAnsi="Times New Roman"/>
          <w:sz w:val="24"/>
          <w:szCs w:val="24"/>
        </w:rPr>
        <w:t xml:space="preserve">接口鉴权：开放 API 采用 AccessToken 令牌鉴权（获取方式见 6.2 节）；</w:t>
      </w:r>
    </w:p>
    <w:p>
      <w:pPr>
        <w:pStyle w:val="ListParagraph"/>
        <w:numPr>
          <w:ilvl w:val="0"/>
          <w:numId w:val="2"/>
        </w:numPr>
        <w:spacing w:after="40" w:line="360" w:lineRule="auto"/>
      </w:pPr>
      <w:r>
        <w:rPr>
          <w:rFonts w:ascii="Times New Roman" w:eastAsia="仿宋" w:hAnsi="Times New Roman"/>
          <w:sz w:val="24"/>
          <w:szCs w:val="24"/>
        </w:rPr>
        <w:t xml:space="preserve">时间格式：yyyy-MM-dd HH:mm:ss，时区为东八区；</w:t>
      </w:r>
    </w:p>
    <w:p>
      <w:pPr>
        <w:pStyle w:val="ListParagraph"/>
        <w:numPr>
          <w:ilvl w:val="0"/>
          <w:numId w:val="2"/>
        </w:numPr>
        <w:spacing w:after="40" w:line="360" w:lineRule="auto"/>
      </w:pPr>
      <w:r>
        <w:rPr>
          <w:rFonts w:ascii="Times New Roman" w:eastAsia="仿宋" w:hAnsi="Times New Roman"/>
          <w:sz w:val="24"/>
          <w:szCs w:val="24"/>
        </w:rPr>
        <w:t xml:space="preserve">基础地址：&lt;平台域名&gt;（生产环境）与 &lt;联调域名&gt;（联调环境）。</w:t>
      </w:r>
    </w:p>
    <w:p>
      <w:pPr>
        <w:pStyle w:val="Heading1"/>
        <w:spacing w:after="120" w:before="240"/>
      </w:pPr>
      <w:r>
        <w:rPr>
          <w:rFonts w:ascii="Times New Roman" w:eastAsia="黑体" w:hAnsi="Times New Roman"/>
          <w:b/>
          <w:bCs/>
          <w:color w:val="000000"/>
          <w:sz w:val="32"/>
          <w:szCs w:val="32"/>
        </w:rPr>
        <w:t xml:space="preserve">二、与统一身份认证系统集成</w:t>
      </w:r>
    </w:p>
    <w:p>
      <w:pPr>
        <w:pStyle w:val="Heading2"/>
        <w:spacing w:after="100" w:before="200"/>
      </w:pPr>
      <w:r>
        <w:rPr>
          <w:rFonts w:ascii="Times New Roman" w:eastAsia="黑体" w:hAnsi="Times New Roman"/>
          <w:b/>
          <w:bCs/>
          <w:color w:val="000000"/>
          <w:sz w:val="28"/>
          <w:szCs w:val="28"/>
        </w:rPr>
        <w:t xml:space="preserve">2.1 集成模式与协议选型</w:t>
      </w:r>
    </w:p>
    <w:p>
      <w:pPr>
        <w:spacing w:after="60" w:line="360" w:lineRule="auto"/>
        <w:ind w:firstLine="480"/>
      </w:pPr>
      <w:r>
        <w:rPr>
          <w:rFonts w:ascii="Times New Roman" w:eastAsia="仿宋" w:hAnsi="Times New Roman"/>
          <w:sz w:val="24"/>
          <w:szCs w:val="24"/>
        </w:rPr>
        <w:t xml:space="preserve">平台支持 CAS 3.0、OAuth2、OIDC 三种协议与统一身份认证系统集成，实现用户单点登录、自动注册、组织归属与人员信息同步。推荐采用 CAS 3.0 协议（统一认证主流标准，平台原生支持最完整）；若业主单位认证平台仅提供 OAuth2/OIDC 端点，可采用备选方案接入，两种模式能力等价。</w:t>
      </w:r>
    </w:p>
    <w:p>
      <w:pPr>
        <w:pStyle w:val="Heading2"/>
        <w:spacing w:after="100" w:before="200"/>
      </w:pPr>
      <w:r>
        <w:rPr>
          <w:rFonts w:ascii="Times New Roman" w:eastAsia="黑体" w:hAnsi="Times New Roman"/>
          <w:b/>
          <w:bCs/>
          <w:color w:val="000000"/>
          <w:sz w:val="28"/>
          <w:szCs w:val="28"/>
        </w:rPr>
        <w:t xml:space="preserve">2.2 CAS 集成规范</w:t>
      </w:r>
    </w:p>
    <w:p>
      <w:pPr>
        <w:spacing w:after="60" w:line="360" w:lineRule="auto"/>
        <w:ind w:firstLine="480"/>
      </w:pPr>
      <w:r>
        <w:rPr>
          <w:rFonts w:ascii="Times New Roman" w:eastAsia="仿宋" w:hAnsi="Times New Roman"/>
          <w:sz w:val="24"/>
          <w:szCs w:val="24"/>
        </w:rPr>
        <w:t xml:space="preserve">CAS 集成模式下，业主单位认证中心需为平台注册服务（RegisteredService），平台侧配置以下参数：</w:t>
      </w:r>
    </w:p>
    <w:p>
      <w:pPr>
        <w:spacing w:after="60" w:before="120"/>
        <w:jc w:val="center"/>
      </w:pPr>
      <w:r>
        <w:rPr>
          <w:rFonts w:ascii="Times New Roman" w:eastAsia="黑体" w:hAnsi="Times New Roman"/>
          <w:b/>
          <w:bCs/>
          <w:sz w:val="21"/>
          <w:szCs w:val="21"/>
        </w:rPr>
        <w:t xml:space="preserve">表 2-1 CAS 集成配置参数表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配置项</w:t>
            </w:r>
          </w:p>
        </w:tc>
        <w:tc>
          <w:tcPr>
            <w:tcW w:type="dxa" w:w="3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说明</w:t>
            </w:r>
          </w:p>
        </w:tc>
        <w:tc>
          <w:tcPr>
            <w:tcW w:type="dxa" w:w="28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示例/取值</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server-url</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业主单位 CAS 服务基础地址</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&lt;CAS服务地址&gt;</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service-redirect-uri</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平台登录回调地址</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https://&lt;平台域名&gt;/login</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auto-register</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首次登录是否自动注册平台账号</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true</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default-org-uid</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自动注册用户默认归属组织</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&lt;业主单位组织标识&gt;</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default-role</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自动注册用户默认角色</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&lt;默认角色&gt;</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attribute-mapping.name</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姓名属性映射字段</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cn</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attribute-mapping.job-number</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工号属性映射字段</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employeeNumber</w:t>
            </w:r>
          </w:p>
        </w:tc>
      </w:tr>
      <w:tr>
        <w:tc>
          <w:tcPr>
            <w:tcW w:type="dxa" w:w="26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attribute-mapping.department</w:t>
            </w:r>
          </w:p>
        </w:tc>
        <w:tc>
          <w:tcPr>
            <w:tcW w:type="dxa" w:w="3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部门属性映射字段</w:t>
            </w:r>
          </w:p>
        </w:tc>
        <w:tc>
          <w:tcPr>
            <w:tcW w:type="dxa" w:w="28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department</w:t>
            </w:r>
          </w:p>
        </w:tc>
      </w:tr>
    </w:tbl>
    <w:p>
      <w:pPr>
        <w:pStyle w:val="Heading2"/>
        <w:spacing w:after="100" w:before="200"/>
      </w:pPr>
      <w:r>
        <w:rPr>
          <w:rFonts w:ascii="Times New Roman" w:eastAsia="黑体" w:hAnsi="Times New Roman"/>
          <w:b/>
          <w:bCs/>
          <w:color w:val="000000"/>
          <w:sz w:val="28"/>
          <w:szCs w:val="28"/>
        </w:rPr>
        <w:t xml:space="preserve">2.3 CAS 单点登录流程</w:t>
      </w:r>
    </w:p>
    <w:p>
      <w:pPr>
        <w:spacing w:after="60" w:before="120"/>
        <w:jc w:val="center"/>
      </w:pPr>
      <w:r>
        <w:rPr>
          <w:rFonts w:ascii="Times New Roman" w:eastAsia="黑体" w:hAnsi="Times New Roman"/>
          <w:b/>
          <w:bCs/>
          <w:sz w:val="21"/>
          <w:szCs w:val="21"/>
        </w:rPr>
        <w:t xml:space="preserve">表 2-2 单点登录流程步骤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步骤</w:t>
            </w:r>
          </w:p>
        </w:tc>
        <w:tc>
          <w:tcPr>
            <w:tcW w:type="dxa" w:w="24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动作</w:t>
            </w:r>
          </w:p>
        </w:tc>
        <w:tc>
          <w:tcPr>
            <w:tcW w:type="dxa" w:w="58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说明</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用户访问平台</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用户在内网内访问微语平台管理后台或客服端</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重定向至 CAS</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平台将未登录用户重定向至 &lt;CAS服务地址&gt;/login，携带 service 参数</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3</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业主单位认证</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用户在业主单位认证页面完成账号口令（或一卡通/扫码）认证</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回跳平台</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CAS 携带一次性 ticket 回跳平台回调地址</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校验 ticket</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平台服务端向 CAS 服务端校验 ticket，获取用户名与属性（姓名/工号/部门）</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6</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自动注册/匹配</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首次登录按 auto-register 策略自动注册并归属组织；已存在则直接匹配账号</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7</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签发令牌</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平台签发 AccessToken，用户进入系统，完成单点登录</w:t>
            </w:r>
          </w:p>
        </w:tc>
      </w:tr>
    </w:tbl>
    <w:p>
      <w:pPr>
        <w:pStyle w:val="Heading2"/>
        <w:spacing w:after="100" w:before="200"/>
      </w:pPr>
      <w:r>
        <w:rPr>
          <w:rFonts w:ascii="Times New Roman" w:eastAsia="黑体" w:hAnsi="Times New Roman"/>
          <w:b/>
          <w:bCs/>
          <w:color w:val="000000"/>
          <w:sz w:val="28"/>
          <w:szCs w:val="28"/>
        </w:rPr>
        <w:t xml:space="preserve">2.4 OAuth2/OIDC 集成规范（备选）</w:t>
      </w:r>
    </w:p>
    <w:p>
      <w:pPr>
        <w:spacing w:after="60" w:line="360" w:lineRule="auto"/>
        <w:ind w:firstLine="480"/>
      </w:pPr>
      <w:r>
        <w:rPr>
          <w:rFonts w:ascii="Times New Roman" w:eastAsia="仿宋" w:hAnsi="Times New Roman"/>
          <w:sz w:val="24"/>
          <w:szCs w:val="24"/>
        </w:rPr>
        <w:t xml:space="preserve">若业主单位认证平台提供 OAuth2/OIDC 端点，采用标准授权码流程：平台作为客户端，配置 authorize-url、token-url、userinfo-url、client-id、client-secret、redirect-uri 与 scope 参数；用户授权后平台获取 access_token 并拉取用户信息，后续注册与令牌签发流程与 CAS 模式一致。</w:t>
      </w:r>
    </w:p>
    <w:p>
      <w:pPr>
        <w:pStyle w:val="Heading2"/>
        <w:spacing w:after="100" w:before="200"/>
      </w:pPr>
      <w:r>
        <w:rPr>
          <w:rFonts w:ascii="Times New Roman" w:eastAsia="黑体" w:hAnsi="Times New Roman"/>
          <w:b/>
          <w:bCs/>
          <w:color w:val="000000"/>
          <w:sz w:val="28"/>
          <w:szCs w:val="28"/>
        </w:rPr>
        <w:t xml:space="preserve">2.5 组织机构与人员信息同步</w:t>
      </w:r>
    </w:p>
    <w:p>
      <w:pPr>
        <w:spacing w:after="60" w:line="360" w:lineRule="auto"/>
        <w:ind w:firstLine="480"/>
      </w:pPr>
      <w:r>
        <w:rPr>
          <w:rFonts w:ascii="Times New Roman" w:eastAsia="仿宋" w:hAnsi="Times New Roman"/>
          <w:sz w:val="24"/>
          <w:szCs w:val="24"/>
        </w:rPr>
        <w:t xml:space="preserve">除登录时的自动注册外，平台提供人员信息批量同步接口，支持业主单位将统一认证系统中的内部用户信息（工号、电话、部门）定期同步至平台，供客服工作台展示用户 360 档案。同步接口定义如下：</w:t>
      </w:r>
    </w:p>
    <w:p>
      <w:pPr>
        <w:shd w:fill="F2F2F2" w:color="auto" w:val="clear"/>
        <w:spacing w:after="10" w:line="276" w:lineRule="auto"/>
        <w:ind w:left="400"/>
      </w:pPr>
      <w:r>
        <w:rPr>
          <w:rFonts w:ascii="Consolas" w:eastAsia="仿宋" w:hAnsi="Consolas"/>
          <w:sz w:val="20"/>
          <w:szCs w:val="20"/>
        </w:rPr>
        <w:t xml:space="preserve">POST /api/v1/user/sync/batch</w:t>
      </w:r>
    </w:p>
    <w:p>
      <w:pPr>
        <w:shd w:fill="F2F2F2" w:color="auto" w:val="clear"/>
        <w:spacing w:after="10" w:line="276" w:lineRule="auto"/>
        <w:ind w:left="400"/>
      </w:pPr>
      <w:r>
        <w:rPr>
          <w:rFonts w:ascii="Consolas" w:eastAsia="仿宋" w:hAnsi="Consolas"/>
          <w:sz w:val="20"/>
          <w:szCs w:val="20"/>
        </w:rPr>
        <w:t xml:space="preserve">Content-Type: application/json</w:t>
      </w:r>
    </w:p>
    <w:p>
      <w:pPr>
        <w:shd w:fill="F2F2F2" w:color="auto" w:val="clear"/>
        <w:spacing w:after="10" w:line="276" w:lineRule="auto"/>
        <w:ind w:left="400"/>
      </w:pPr>
      <w:r>
        <w:rPr>
          <w:rFonts w:ascii="Consolas" w:eastAsia="仿宋" w:hAnsi="Consolas"/>
          <w:sz w:val="20"/>
          <w:szCs w:val="20"/>
        </w:rPr>
        <w:t xml:space="preserve"/>
      </w:r>
    </w:p>
    <w:p>
      <w:pPr>
        <w:shd w:fill="F2F2F2" w:color="auto" w:val="clear"/>
        <w:spacing w:after="10" w:line="276" w:lineRule="auto"/>
        <w:ind w:left="400"/>
      </w:pPr>
      <w:r>
        <w:rPr>
          <w:rFonts w:ascii="Consolas" w:eastAsia="仿宋" w:hAnsi="Consolas"/>
          <w:sz w:val="20"/>
          <w:szCs w:val="20"/>
        </w:rPr>
        <w:t xml:space="preserve">{</w:t>
      </w:r>
    </w:p>
    <w:p>
      <w:pPr>
        <w:shd w:fill="F2F2F2" w:color="auto" w:val="clear"/>
        <w:spacing w:after="10" w:line="276" w:lineRule="auto"/>
        <w:ind w:left="400"/>
      </w:pPr>
      <w:r>
        <w:rPr>
          <w:rFonts w:ascii="Consolas" w:eastAsia="仿宋" w:hAnsi="Consolas"/>
          <w:sz w:val="20"/>
          <w:szCs w:val="20"/>
        </w:rPr>
        <w:t xml:space="preserve">  "users": [</w:t>
      </w:r>
    </w:p>
    <w:p>
      <w:pPr>
        <w:shd w:fill="F2F2F2" w:color="auto" w:val="clear"/>
        <w:spacing w:after="10" w:line="276" w:lineRule="auto"/>
        <w:ind w:left="400"/>
      </w:pPr>
      <w:r>
        <w:rPr>
          <w:rFonts w:ascii="Consolas" w:eastAsia="仿宋" w:hAnsi="Consolas"/>
          <w:sz w:val="20"/>
          <w:szCs w:val="20"/>
        </w:rPr>
        <w:t xml:space="preserve">    { "username": "20260001", "nickname": "陈征",</w:t>
      </w:r>
    </w:p>
    <w:p>
      <w:pPr>
        <w:shd w:fill="F2F2F2" w:color="auto" w:val="clear"/>
        <w:spacing w:after="10" w:line="276" w:lineRule="auto"/>
        <w:ind w:left="400"/>
      </w:pPr>
      <w:r>
        <w:rPr>
          <w:rFonts w:ascii="Consolas" w:eastAsia="仿宋" w:hAnsi="Consolas"/>
          <w:sz w:val="20"/>
          <w:szCs w:val="20"/>
        </w:rPr>
        <w:t xml:space="preserve">      "jobNumber": "0650", "mobile": "13911320387",</w:t>
      </w:r>
    </w:p>
    <w:p>
      <w:pPr>
        <w:shd w:fill="F2F2F2" w:color="auto" w:val="clear"/>
        <w:spacing w:after="10" w:line="276" w:lineRule="auto"/>
        <w:ind w:left="400"/>
      </w:pPr>
      <w:r>
        <w:rPr>
          <w:rFonts w:ascii="Consolas" w:eastAsia="仿宋" w:hAnsi="Consolas"/>
          <w:sz w:val="20"/>
          <w:szCs w:val="20"/>
        </w:rPr>
        <w:t xml:space="preserve">      "department": "信息化处" }</w:t>
      </w:r>
    </w:p>
    <w:p>
      <w:pPr>
        <w:shd w:fill="F2F2F2" w:color="auto" w:val="clear"/>
        <w:spacing w:after="10" w:line="276" w:lineRule="auto"/>
        <w:ind w:left="400"/>
      </w:pPr>
      <w:r>
        <w:rPr>
          <w:rFonts w:ascii="Consolas" w:eastAsia="仿宋" w:hAnsi="Consolas"/>
          <w:sz w:val="20"/>
          <w:szCs w:val="20"/>
        </w:rPr>
        <w:t xml:space="preserve">  ]</w:t>
      </w:r>
    </w:p>
    <w:p>
      <w:pPr>
        <w:shd w:fill="F2F2F2" w:color="auto" w:val="clear"/>
        <w:spacing w:after="10" w:line="276" w:lineRule="auto"/>
        <w:ind w:left="400"/>
      </w:pPr>
      <w:r>
        <w:rPr>
          <w:rFonts w:ascii="Consolas" w:eastAsia="仿宋" w:hAnsi="Consolas"/>
          <w:sz w:val="20"/>
          <w:szCs w:val="20"/>
        </w:rPr>
        <w:t xml:space="preserve">}</w:t>
      </w:r>
    </w:p>
    <w:p>
      <w:pPr>
        <w:spacing w:after="60" w:line="360" w:lineRule="auto"/>
        <w:ind w:firstLine="480"/>
      </w:pPr>
      <w:r>
        <w:rPr>
          <w:rFonts w:ascii="Times New Roman" w:eastAsia="仿宋" w:hAnsi="Times New Roman"/>
          <w:sz w:val="24"/>
          <w:szCs w:val="24"/>
        </w:rPr>
        <w:t xml:space="preserve">同步策略：以工号（jobNumber）或用户名（username）为唯一键执行增量更新；字段为空不覆盖已有值；删除人员采用软删除。建议业主单位以每日一次的频率调用，或由平台通过业主单位提供的数据接口定时拉取。</w:t>
      </w:r>
    </w:p>
    <w:p>
      <w:pPr>
        <w:pStyle w:val="Heading1"/>
        <w:spacing w:after="120" w:before="240"/>
      </w:pPr>
      <w:r>
        <w:rPr>
          <w:rFonts w:ascii="Times New Roman" w:eastAsia="黑体" w:hAnsi="Times New Roman"/>
          <w:b/>
          <w:bCs/>
          <w:color w:val="000000"/>
          <w:sz w:val="32"/>
          <w:szCs w:val="32"/>
        </w:rPr>
        <w:t xml:space="preserve">三、与企业微信平台集成</w:t>
      </w:r>
    </w:p>
    <w:p>
      <w:pPr>
        <w:pStyle w:val="Heading2"/>
        <w:spacing w:after="100" w:before="200"/>
      </w:pPr>
      <w:r>
        <w:rPr>
          <w:rFonts w:ascii="Times New Roman" w:eastAsia="黑体" w:hAnsi="Times New Roman"/>
          <w:b/>
          <w:bCs/>
          <w:color w:val="000000"/>
          <w:sz w:val="28"/>
          <w:szCs w:val="28"/>
        </w:rPr>
        <w:t xml:space="preserve">3.1 集成模式总览</w:t>
      </w:r>
    </w:p>
    <w:p>
      <w:pPr>
        <w:spacing w:after="60" w:line="360" w:lineRule="auto"/>
        <w:ind w:firstLine="480"/>
      </w:pPr>
      <w:r>
        <w:rPr>
          <w:rFonts w:ascii="Times New Roman" w:eastAsia="仿宋" w:hAnsi="Times New Roman"/>
          <w:sz w:val="24"/>
          <w:szCs w:val="24"/>
        </w:rPr>
        <w:t xml:space="preserve">平台通过企业微信自建应用模式集成，提供四项能力：工作台嵌入数字员工服务入口、双向消息互通（服务消息/工单通知/语音/图片/正在输入提示）、通讯录双向同步、智能机器人长连接。平台支持飞书同类集成能力（工作台入口与消息互通），本项目以企业微信为主，飞书能力按需开通。</w:t>
      </w:r>
    </w:p>
    <w:p>
      <w:pPr>
        <w:pStyle w:val="Heading2"/>
        <w:spacing w:after="100" w:before="200"/>
      </w:pPr>
      <w:r>
        <w:rPr>
          <w:rFonts w:ascii="Times New Roman" w:eastAsia="黑体" w:hAnsi="Times New Roman"/>
          <w:b/>
          <w:bCs/>
          <w:color w:val="000000"/>
          <w:sz w:val="28"/>
          <w:szCs w:val="28"/>
        </w:rPr>
        <w:t xml:space="preserve">3.2 前置条件：业主单位企微管理员操作清单</w:t>
      </w:r>
    </w:p>
    <w:p>
      <w:pPr>
        <w:spacing w:after="60" w:before="120"/>
        <w:jc w:val="center"/>
      </w:pPr>
      <w:r>
        <w:rPr>
          <w:rFonts w:ascii="Times New Roman" w:eastAsia="黑体" w:hAnsi="Times New Roman"/>
          <w:b/>
          <w:bCs/>
          <w:sz w:val="21"/>
          <w:szCs w:val="21"/>
        </w:rPr>
        <w:t xml:space="preserve">表 3-1 企业微信侧配置操作清单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步骤</w:t>
            </w:r>
          </w:p>
        </w:tc>
        <w:tc>
          <w:tcPr>
            <w:tcW w:type="dxa" w:w="24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操作项</w:t>
            </w:r>
          </w:p>
        </w:tc>
        <w:tc>
          <w:tcPr>
            <w:tcW w:type="dxa" w:w="58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说明</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创建自建应用</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在业主单位企业微信管理后台创建自建应用，获取 CorpID 与 Secret</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配置可信域名</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将 &lt;平台域名&gt; 配置为应用可信域名，完成域名校验</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3</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配置回调 URL</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接收消息服务器 URL 指向平台回调接口，配置 Token 与 EncodingAESKey</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设置可见范围</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设置应用可见范围为全单位用户或指定部门</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开通通讯录权限</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为应用开通通讯录只读（同步）或读写（含标签管理）权限</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6</w:t>
            </w:r>
          </w:p>
        </w:tc>
        <w:tc>
          <w:tcPr>
            <w:tcW w:type="dxa" w:w="24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配置工作台主页</w:t>
            </w:r>
          </w:p>
        </w:tc>
        <w:tc>
          <w:tcPr>
            <w:tcW w:type="dxa" w:w="58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将应用主页设置为数字员工服务入口页面</w:t>
            </w:r>
          </w:p>
        </w:tc>
      </w:tr>
    </w:tbl>
    <w:p>
      <w:pPr>
        <w:pStyle w:val="Heading2"/>
        <w:spacing w:after="100" w:before="200"/>
      </w:pPr>
      <w:r>
        <w:rPr>
          <w:rFonts w:ascii="Times New Roman" w:eastAsia="黑体" w:hAnsi="Times New Roman"/>
          <w:b/>
          <w:bCs/>
          <w:color w:val="000000"/>
          <w:sz w:val="28"/>
          <w:szCs w:val="28"/>
        </w:rPr>
        <w:t xml:space="preserve">3.3 工作台嵌入</w:t>
      </w:r>
    </w:p>
    <w:p>
      <w:pPr>
        <w:spacing w:after="60" w:line="360" w:lineRule="auto"/>
        <w:ind w:firstLine="480"/>
      </w:pPr>
      <w:r>
        <w:rPr>
          <w:rFonts w:ascii="Times New Roman" w:eastAsia="仿宋" w:hAnsi="Times New Roman"/>
          <w:sz w:val="24"/>
          <w:szCs w:val="24"/>
        </w:rPr>
        <w:t xml:space="preserve">业主单位管理员在自建应用“工作台应用主页”中配置入口 URL 为数字员工服务页面地址（https://&lt;平台域名&gt;/visitor?org=&lt;业主单位组织标识&gt;）。用户在企业微信工作台点击应用即可直接进入数字员工服务窗口，无需二次登录，界面自动适配企微内嵌浏览器。</w:t>
      </w:r>
    </w:p>
    <w:p>
      <w:pPr>
        <w:pStyle w:val="Heading2"/>
        <w:spacing w:after="100" w:before="200"/>
      </w:pPr>
      <w:r>
        <w:rPr>
          <w:rFonts w:ascii="Times New Roman" w:eastAsia="黑体" w:hAnsi="Times New Roman"/>
          <w:b/>
          <w:bCs/>
          <w:color w:val="000000"/>
          <w:sz w:val="28"/>
          <w:szCs w:val="28"/>
        </w:rPr>
        <w:t xml:space="preserve">3.4 消息网关集成</w:t>
      </w:r>
    </w:p>
    <w:p>
      <w:pPr>
        <w:spacing w:after="60" w:line="360" w:lineRule="auto"/>
        <w:ind w:firstLine="480"/>
      </w:pPr>
      <w:r>
        <w:rPr>
          <w:rFonts w:ascii="Times New Roman" w:eastAsia="仿宋" w:hAnsi="Times New Roman"/>
          <w:sz w:val="24"/>
          <w:szCs w:val="24"/>
        </w:rPr>
        <w:t xml:space="preserve">平台通过企业微信回调模式接收消息，通过应用消息接口发送消息，支持的消息类型如下：</w:t>
      </w:r>
    </w:p>
    <w:p>
      <w:pPr>
        <w:spacing w:after="60" w:before="120"/>
        <w:jc w:val="center"/>
      </w:pPr>
      <w:r>
        <w:rPr>
          <w:rFonts w:ascii="Times New Roman" w:eastAsia="黑体" w:hAnsi="Times New Roman"/>
          <w:b/>
          <w:bCs/>
          <w:sz w:val="21"/>
          <w:szCs w:val="21"/>
        </w:rPr>
        <w:t xml:space="preserve">表 3-2 消息类型支持表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626"/>
      </w:tblGrid>
      <w:tr>
        <w:trPr>
          <w:tblHeader/>
        </w:trPr>
        <w:tc>
          <w:tcPr>
            <w:tcW w:type="dxa" w:w="1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消息类型</w:t>
            </w:r>
          </w:p>
        </w:tc>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接收（用户→平台）</w:t>
            </w:r>
          </w:p>
        </w:tc>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发送（平台→用户）</w:t>
            </w:r>
          </w:p>
        </w:tc>
        <w:tc>
          <w:tcPr>
            <w:tcW w:type="dxa" w:w="26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说明</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文本</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实时文字对话</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图片</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截图、照片咨询</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文件</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附件传输</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语音</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语音消息</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正在输入提示</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输入状态实时展示</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工单通知</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工单创建/流转/超时提醒</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服务通知</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会话转接、系统通知</w:t>
            </w:r>
          </w:p>
        </w:tc>
      </w:tr>
      <w:tr>
        <w:tc>
          <w:tcPr>
            <w:tcW w:type="dxa" w:w="1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Markdown 图文</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支持</w:t>
            </w:r>
          </w:p>
        </w:tc>
        <w:tc>
          <w:tcPr>
            <w:tcW w:type="dxa" w:w="2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AI 回答排版展示</w:t>
            </w:r>
          </w:p>
        </w:tc>
      </w:tr>
    </w:tbl>
    <w:p>
      <w:pPr>
        <w:spacing w:after="60" w:line="360" w:lineRule="auto"/>
        <w:ind w:firstLine="480"/>
      </w:pPr>
      <w:r>
        <w:rPr>
          <w:rFonts w:ascii="Times New Roman" w:eastAsia="仿宋" w:hAnsi="Times New Roman"/>
          <w:sz w:val="24"/>
          <w:szCs w:val="24"/>
        </w:rPr>
        <w:t xml:space="preserve">回调消息采用企业微信标准 AES 加解密（EncodingAESKey），平台已内置加解密实现与回调 URL 验证（echostr 校验）逻辑。</w:t>
      </w:r>
    </w:p>
    <w:p>
      <w:pPr>
        <w:pStyle w:val="Heading2"/>
        <w:spacing w:after="100" w:before="200"/>
      </w:pPr>
      <w:r>
        <w:rPr>
          <w:rFonts w:ascii="Times New Roman" w:eastAsia="黑体" w:hAnsi="Times New Roman"/>
          <w:b/>
          <w:bCs/>
          <w:color w:val="000000"/>
          <w:sz w:val="28"/>
          <w:szCs w:val="28"/>
        </w:rPr>
        <w:t xml:space="preserve">3.5 通讯录同步</w:t>
      </w:r>
    </w:p>
    <w:p>
      <w:pPr>
        <w:spacing w:after="60" w:line="360" w:lineRule="auto"/>
        <w:ind w:firstLine="480"/>
      </w:pPr>
      <w:r>
        <w:rPr>
          <w:rFonts w:ascii="Times New Roman" w:eastAsia="仿宋" w:hAnsi="Times New Roman"/>
          <w:sz w:val="24"/>
          <w:szCs w:val="24"/>
        </w:rPr>
        <w:t xml:space="preserve">平台支持企业微信通讯录双向同步：以部门树+成员明细方式拉取，部门与成员分别落库并保持映射关系；企微侧删除的人员在平台侧软删除；同步支持手动触发与定时执行，内置限频保护与失败重试。通讯录标签（含打标签/移除标签）同步支持。</w:t>
      </w:r>
    </w:p>
    <w:p>
      <w:pPr>
        <w:pStyle w:val="Heading2"/>
        <w:spacing w:after="100" w:before="200"/>
      </w:pPr>
      <w:r>
        <w:rPr>
          <w:rFonts w:ascii="Times New Roman" w:eastAsia="黑体" w:hAnsi="Times New Roman"/>
          <w:b/>
          <w:bCs/>
          <w:color w:val="000000"/>
          <w:sz w:val="28"/>
          <w:szCs w:val="28"/>
        </w:rPr>
        <w:t xml:space="preserve">3.6 工单通知推送</w:t>
      </w:r>
    </w:p>
    <w:p>
      <w:pPr>
        <w:spacing w:after="60" w:line="360" w:lineRule="auto"/>
        <w:ind w:firstLine="480"/>
      </w:pPr>
      <w:r>
        <w:rPr>
          <w:rFonts w:ascii="Times New Roman" w:eastAsia="仿宋" w:hAnsi="Times New Roman"/>
          <w:sz w:val="24"/>
          <w:szCs w:val="24"/>
        </w:rPr>
        <w:t xml:space="preserve">工单关键事件通过企业微信应用消息自动推送给处理人：工单创建通知、分配/认领提醒、流转节点提醒、SLA 超时预警、工单解决与关闭通知。消息直达企微工作台，点击可直接进入工单处理页面。</w:t>
      </w:r>
    </w:p>
    <w:p>
      <w:pPr>
        <w:pStyle w:val="Heading1"/>
        <w:spacing w:after="120" w:before="240"/>
      </w:pPr>
      <w:r>
        <w:rPr>
          <w:rFonts w:ascii="Times New Roman" w:eastAsia="黑体" w:hAnsi="Times New Roman"/>
          <w:b/>
          <w:bCs/>
          <w:color w:val="000000"/>
          <w:sz w:val="32"/>
          <w:szCs w:val="32"/>
        </w:rPr>
        <w:t xml:space="preserve">四、与移动端 APP 集成</w:t>
      </w:r>
    </w:p>
    <w:p>
      <w:pPr>
        <w:pStyle w:val="Heading2"/>
        <w:spacing w:after="100" w:before="200"/>
      </w:pPr>
      <w:r>
        <w:rPr>
          <w:rFonts w:ascii="Times New Roman" w:eastAsia="黑体" w:hAnsi="Times New Roman"/>
          <w:b/>
          <w:bCs/>
          <w:color w:val="000000"/>
          <w:sz w:val="28"/>
          <w:szCs w:val="28"/>
        </w:rPr>
        <w:t xml:space="preserve">4.1 集成方式</w:t>
      </w:r>
    </w:p>
    <w:p>
      <w:pPr>
        <w:spacing w:after="60" w:line="360" w:lineRule="auto"/>
        <w:ind w:firstLine="480"/>
      </w:pPr>
      <w:r>
        <w:rPr>
          <w:rFonts w:ascii="Times New Roman" w:eastAsia="仿宋" w:hAnsi="Times New Roman"/>
          <w:sz w:val="24"/>
          <w:szCs w:val="24"/>
        </w:rPr>
        <w:t xml:space="preserve">移动端 APP 采用 H5 页面嵌入方式集成数字员工服务窗口：在移动端 APP 内以 WebView 组件加载平台的访客端服务页面，用户在 APP 内即可发起咨询，无需安装额外应用。平台同时提供网页嵌入 SDK（一段 JS 脚本），适用于 APP 内任意需要悬浮咨询入口的页面。</w:t>
      </w:r>
    </w:p>
    <w:p>
      <w:pPr>
        <w:pStyle w:val="Heading2"/>
        <w:spacing w:after="100" w:before="200"/>
      </w:pPr>
      <w:r>
        <w:rPr>
          <w:rFonts w:ascii="Times New Roman" w:eastAsia="黑体" w:hAnsi="Times New Roman"/>
          <w:b/>
          <w:bCs/>
          <w:color w:val="000000"/>
          <w:sz w:val="28"/>
          <w:szCs w:val="28"/>
        </w:rPr>
        <w:t xml:space="preserve">4.2 WebView 直嵌方式</w:t>
      </w:r>
    </w:p>
    <w:p>
      <w:pPr>
        <w:spacing w:after="60" w:line="360" w:lineRule="auto"/>
        <w:ind w:firstLine="480"/>
      </w:pPr>
      <w:r>
        <w:rPr>
          <w:rFonts w:ascii="Times New Roman" w:eastAsia="仿宋" w:hAnsi="Times New Roman"/>
          <w:sz w:val="24"/>
          <w:szCs w:val="24"/>
        </w:rPr>
        <w:t xml:space="preserve">在移动端 APP 中配置 WebView 页面，加载地址：</w:t>
      </w:r>
    </w:p>
    <w:p>
      <w:pPr>
        <w:shd w:fill="F2F2F2" w:color="auto" w:val="clear"/>
        <w:spacing w:after="10" w:line="276" w:lineRule="auto"/>
        <w:ind w:left="400"/>
      </w:pPr>
      <w:r>
        <w:rPr>
          <w:rFonts w:ascii="Consolas" w:eastAsia="仿宋" w:hAnsi="Consolas"/>
          <w:sz w:val="20"/>
          <w:szCs w:val="20"/>
        </w:rPr>
        <w:t xml:space="preserve">https://&lt;平台域名&gt;/chat?org=&lt;业主单位组织标识&gt;&amp;theme=default&amp;lang=zh-CN</w:t>
      </w:r>
    </w:p>
    <w:p>
      <w:pPr>
        <w:spacing w:after="60" w:line="360" w:lineRule="auto"/>
        <w:ind w:firstLine="480"/>
      </w:pPr>
      <w:r>
        <w:rPr>
          <w:rFonts w:ascii="Times New Roman" w:eastAsia="仿宋" w:hAnsi="Times New Roman"/>
          <w:sz w:val="24"/>
          <w:szCs w:val="24"/>
        </w:rPr>
        <w:t xml:space="preserve">WebView 需允许加载 HTTPS 页面并启用 JavaScript；如需 APP 侧传递用户身份，可在链接中附加用户标识参数（建议由业主单位侧做签名防篡改），实现免登录咨询。</w:t>
      </w:r>
    </w:p>
    <w:p>
      <w:pPr>
        <w:pStyle w:val="Heading2"/>
        <w:spacing w:after="100" w:before="200"/>
      </w:pPr>
      <w:r>
        <w:rPr>
          <w:rFonts w:ascii="Times New Roman" w:eastAsia="黑体" w:hAnsi="Times New Roman"/>
          <w:b/>
          <w:bCs/>
          <w:color w:val="000000"/>
          <w:sz w:val="28"/>
          <w:szCs w:val="28"/>
        </w:rPr>
        <w:t xml:space="preserve">4.3 网页 SDK 嵌入方式</w:t>
      </w:r>
    </w:p>
    <w:p>
      <w:pPr>
        <w:spacing w:after="60" w:line="360" w:lineRule="auto"/>
        <w:ind w:firstLine="480"/>
      </w:pPr>
      <w:r>
        <w:rPr>
          <w:rFonts w:ascii="Times New Roman" w:eastAsia="仿宋" w:hAnsi="Times New Roman"/>
          <w:sz w:val="24"/>
          <w:szCs w:val="24"/>
        </w:rPr>
        <w:t xml:space="preserve">在 APP 内 H5 页面（或业主单位任意网站）引入 SDK 脚本，即可在页面右下角出现悬浮咨询按钮，点击弹出聊天窗口：</w:t>
      </w:r>
    </w:p>
    <w:p>
      <w:pPr>
        <w:shd w:fill="F2F2F2" w:color="auto" w:val="clear"/>
        <w:spacing w:after="10" w:line="276" w:lineRule="auto"/>
        <w:ind w:left="400"/>
      </w:pPr>
      <w:r>
        <w:rPr>
          <w:rFonts w:ascii="Consolas" w:eastAsia="仿宋" w:hAnsi="Consolas"/>
          <w:sz w:val="20"/>
          <w:szCs w:val="20"/>
        </w:rPr>
        <w:t xml:space="preserve">&lt;script</w:t>
      </w:r>
    </w:p>
    <w:p>
      <w:pPr>
        <w:shd w:fill="F2F2F2" w:color="auto" w:val="clear"/>
        <w:spacing w:after="10" w:line="276" w:lineRule="auto"/>
        <w:ind w:left="400"/>
      </w:pPr>
      <w:r>
        <w:rPr>
          <w:rFonts w:ascii="Consolas" w:eastAsia="仿宋" w:hAnsi="Consolas"/>
          <w:sz w:val="20"/>
          <w:szCs w:val="20"/>
        </w:rPr>
        <w:t xml:space="preserve">  htmlUrl="https://&lt;平台域名&gt;"</w:t>
      </w:r>
    </w:p>
    <w:p>
      <w:pPr>
        <w:shd w:fill="F2F2F2" w:color="auto" w:val="clear"/>
        <w:spacing w:after="10" w:line="276" w:lineRule="auto"/>
        <w:ind w:left="400"/>
      </w:pPr>
      <w:r>
        <w:rPr>
          <w:rFonts w:ascii="Consolas" w:eastAsia="仿宋" w:hAnsi="Consolas"/>
          <w:sz w:val="20"/>
          <w:szCs w:val="20"/>
        </w:rPr>
        <w:t xml:space="preserve">  apiUrl="https://&lt;平台域名&gt;"</w:t>
      </w:r>
    </w:p>
    <w:p>
      <w:pPr>
        <w:shd w:fill="F2F2F2" w:color="auto" w:val="clear"/>
        <w:spacing w:after="10" w:line="276" w:lineRule="auto"/>
        <w:ind w:left="400"/>
      </w:pPr>
      <w:r>
        <w:rPr>
          <w:rFonts w:ascii="Consolas" w:eastAsia="仿宋" w:hAnsi="Consolas"/>
          <w:sz w:val="20"/>
          <w:szCs w:val="20"/>
        </w:rPr>
        <w:t xml:space="preserve">  chatUrl="https://&lt;平台域名&gt;/chat"</w:t>
      </w:r>
    </w:p>
    <w:p>
      <w:pPr>
        <w:shd w:fill="F2F2F2" w:color="auto" w:val="clear"/>
        <w:spacing w:after="10" w:line="276" w:lineRule="auto"/>
        <w:ind w:left="400"/>
      </w:pPr>
      <w:r>
        <w:rPr>
          <w:rFonts w:ascii="Consolas" w:eastAsia="仿宋" w:hAnsi="Consolas"/>
          <w:sz w:val="20"/>
          <w:szCs w:val="20"/>
        </w:rPr>
        <w:t xml:space="preserve">  src="https://&lt;平台域名&gt;/bytedesk-web.js"</w:t>
      </w:r>
    </w:p>
    <w:p>
      <w:pPr>
        <w:shd w:fill="F2F2F2" w:color="auto" w:val="clear"/>
        <w:spacing w:after="10" w:line="276" w:lineRule="auto"/>
        <w:ind w:left="400"/>
      </w:pPr>
      <w:r>
        <w:rPr>
          <w:rFonts w:ascii="Consolas" w:eastAsia="仿宋" w:hAnsi="Consolas"/>
          <w:sz w:val="20"/>
          <w:szCs w:val="20"/>
        </w:rPr>
        <w:t xml:space="preserve">  org="&lt;业主单位组织标识&gt;"</w:t>
      </w:r>
    </w:p>
    <w:p>
      <w:pPr>
        <w:shd w:fill="F2F2F2" w:color="auto" w:val="clear"/>
        <w:spacing w:after="10" w:line="276" w:lineRule="auto"/>
        <w:ind w:left="400"/>
      </w:pPr>
      <w:r>
        <w:rPr>
          <w:rFonts w:ascii="Consolas" w:eastAsia="仿宋" w:hAnsi="Consolas"/>
          <w:sz w:val="20"/>
          <w:szCs w:val="20"/>
        </w:rPr>
        <w:t xml:space="preserve">  lang="zh-CN"</w:t>
      </w:r>
    </w:p>
    <w:p>
      <w:pPr>
        <w:shd w:fill="F2F2F2" w:color="auto" w:val="clear"/>
        <w:spacing w:after="10" w:line="276" w:lineRule="auto"/>
        <w:ind w:left="400"/>
      </w:pPr>
      <w:r>
        <w:rPr>
          <w:rFonts w:ascii="Consolas" w:eastAsia="仿宋" w:hAnsi="Consolas"/>
          <w:sz w:val="20"/>
          <w:szCs w:val="20"/>
        </w:rPr>
        <w:t xml:space="preserve">&gt;&lt;/script&gt;</w:t>
      </w:r>
    </w:p>
    <w:p>
      <w:pPr>
        <w:pStyle w:val="Heading2"/>
        <w:spacing w:after="100" w:before="200"/>
      </w:pPr>
      <w:r>
        <w:rPr>
          <w:rFonts w:ascii="Times New Roman" w:eastAsia="黑体" w:hAnsi="Times New Roman"/>
          <w:b/>
          <w:bCs/>
          <w:color w:val="000000"/>
          <w:sz w:val="28"/>
          <w:szCs w:val="28"/>
        </w:rPr>
        <w:t xml:space="preserve">4.4 嵌入参数说明</w:t>
      </w:r>
    </w:p>
    <w:p>
      <w:pPr>
        <w:spacing w:after="60" w:before="120"/>
        <w:jc w:val="center"/>
      </w:pPr>
      <w:r>
        <w:rPr>
          <w:rFonts w:ascii="Times New Roman" w:eastAsia="黑体" w:hAnsi="Times New Roman"/>
          <w:b/>
          <w:bCs/>
          <w:sz w:val="21"/>
          <w:szCs w:val="21"/>
        </w:rPr>
        <w:t xml:space="preserve">表 4-1 嵌入参数表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300"/>
        <w:gridCol w:w="2526"/>
      </w:tblGrid>
      <w:tr>
        <w:trPr>
          <w:tblHeader/>
        </w:trPr>
        <w:tc>
          <w:tcPr>
            <w:tcW w:type="dxa" w:w="14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参数</w:t>
            </w:r>
          </w:p>
        </w:tc>
        <w:tc>
          <w:tcPr>
            <w:tcW w:type="dxa" w:w="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必填</w:t>
            </w:r>
          </w:p>
        </w:tc>
        <w:tc>
          <w:tcPr>
            <w:tcW w:type="dxa" w:w="4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说明</w:t>
            </w:r>
          </w:p>
        </w:tc>
        <w:tc>
          <w:tcPr>
            <w:tcW w:type="dxa" w:w="25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示例</w:t>
            </w:r>
          </w:p>
        </w:tc>
      </w:tr>
      <w:tr>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org</w:t>
            </w:r>
          </w:p>
        </w:tc>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是</w:t>
            </w:r>
          </w:p>
        </w:tc>
        <w:tc>
          <w:tcPr>
            <w:tcW w:type="dxa" w:w="4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业主单位组织标识，决定接待的工作组与机器人</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df_org_uid</w:t>
            </w:r>
          </w:p>
        </w:tc>
      </w:tr>
      <w:tr>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htmlUrl</w:t>
            </w:r>
          </w:p>
        </w:tc>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是</w:t>
            </w:r>
          </w:p>
        </w:tc>
        <w:tc>
          <w:tcPr>
            <w:tcW w:type="dxa" w:w="4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聊天页面基础地址</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https://&lt;平台域名&gt;</w:t>
            </w:r>
          </w:p>
        </w:tc>
      </w:tr>
      <w:tr>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apiUrl</w:t>
            </w:r>
          </w:p>
        </w:tc>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是</w:t>
            </w:r>
          </w:p>
        </w:tc>
        <w:tc>
          <w:tcPr>
            <w:tcW w:type="dxa" w:w="4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API 服务地址</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https://&lt;平台域名&gt;</w:t>
            </w:r>
          </w:p>
        </w:tc>
      </w:tr>
      <w:tr>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lang</w:t>
            </w:r>
          </w:p>
        </w:tc>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否</w:t>
            </w:r>
          </w:p>
        </w:tc>
        <w:tc>
          <w:tcPr>
            <w:tcW w:type="dxa" w:w="4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界面语言（zh-CN/en/ja-JP 等），默认跟随浏览器</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zh-CN</w:t>
            </w:r>
          </w:p>
        </w:tc>
      </w:tr>
      <w:tr>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theme</w:t>
            </w:r>
          </w:p>
        </w:tc>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否</w:t>
            </w:r>
          </w:p>
        </w:tc>
        <w:tc>
          <w:tcPr>
            <w:tcW w:type="dxa" w:w="4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窗口主题色自定义</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#1E6FFF</w:t>
            </w:r>
          </w:p>
        </w:tc>
      </w:tr>
      <w:tr>
        <w:tc>
          <w:tcPr>
            <w:tcW w:type="dxa" w:w="14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title</w:t>
            </w:r>
          </w:p>
        </w:tc>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否</w:t>
            </w:r>
          </w:p>
        </w:tc>
        <w:tc>
          <w:tcPr>
            <w:tcW w:type="dxa" w:w="4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窗口标题文案</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智能咨询</w:t>
            </w:r>
          </w:p>
        </w:tc>
      </w:tr>
    </w:tbl>
    <w:p>
      <w:pPr>
        <w:pStyle w:val="Heading2"/>
        <w:spacing w:after="100" w:before="200"/>
      </w:pPr>
      <w:r>
        <w:rPr>
          <w:rFonts w:ascii="Times New Roman" w:eastAsia="黑体" w:hAnsi="Times New Roman"/>
          <w:b/>
          <w:bCs/>
          <w:color w:val="000000"/>
          <w:sz w:val="28"/>
          <w:szCs w:val="28"/>
        </w:rPr>
        <w:t xml:space="preserve">4.5 交互能力</w:t>
      </w:r>
    </w:p>
    <w:p>
      <w:pPr>
        <w:pStyle w:val="ListParagraph"/>
        <w:numPr>
          <w:ilvl w:val="0"/>
          <w:numId w:val="2"/>
        </w:numPr>
        <w:spacing w:after="40" w:line="360" w:lineRule="auto"/>
      </w:pPr>
      <w:r>
        <w:rPr>
          <w:rFonts w:ascii="Times New Roman" w:eastAsia="仿宋" w:hAnsi="Times New Roman"/>
          <w:sz w:val="24"/>
          <w:szCs w:val="24"/>
        </w:rPr>
        <w:t xml:space="preserve">消息类型：文本、图片、文件、语音，支持消息回执（已送达/已读）；</w:t>
      </w:r>
    </w:p>
    <w:p>
      <w:pPr>
        <w:pStyle w:val="ListParagraph"/>
        <w:numPr>
          <w:ilvl w:val="0"/>
          <w:numId w:val="2"/>
        </w:numPr>
        <w:spacing w:after="40" w:line="360" w:lineRule="auto"/>
      </w:pPr>
      <w:r>
        <w:rPr>
          <w:rFonts w:ascii="Times New Roman" w:eastAsia="仿宋" w:hAnsi="Times New Roman"/>
          <w:sz w:val="24"/>
          <w:szCs w:val="24"/>
        </w:rPr>
        <w:t xml:space="preserve">实时能力：正在输入提示、机器人流式回答（逐字输出）；</w:t>
      </w:r>
    </w:p>
    <w:p>
      <w:pPr>
        <w:pStyle w:val="ListParagraph"/>
        <w:numPr>
          <w:ilvl w:val="0"/>
          <w:numId w:val="2"/>
        </w:numPr>
        <w:spacing w:after="40" w:line="360" w:lineRule="auto"/>
      </w:pPr>
      <w:r>
        <w:rPr>
          <w:rFonts w:ascii="Times New Roman" w:eastAsia="仿宋" w:hAnsi="Times New Roman"/>
          <w:sz w:val="24"/>
          <w:szCs w:val="24"/>
        </w:rPr>
        <w:t xml:space="preserve">会话能力：机器人自动应答、转人工排队、满意度评价、关闭会话；</w:t>
      </w:r>
    </w:p>
    <w:p>
      <w:pPr>
        <w:pStyle w:val="ListParagraph"/>
        <w:numPr>
          <w:ilvl w:val="0"/>
          <w:numId w:val="2"/>
        </w:numPr>
        <w:spacing w:after="40" w:line="360" w:lineRule="auto"/>
      </w:pPr>
      <w:r>
        <w:rPr>
          <w:rFonts w:ascii="Times New Roman" w:eastAsia="仿宋" w:hAnsi="Times New Roman"/>
          <w:sz w:val="24"/>
          <w:szCs w:val="24"/>
        </w:rPr>
        <w:t xml:space="preserve">窗口样式：主题色、标题、按钮位置、悬浮位置均可自定义，适配 PC 与移动端。</w:t>
      </w:r>
    </w:p>
    <w:p>
      <w:pPr>
        <w:pStyle w:val="Heading2"/>
        <w:spacing w:after="100" w:before="200"/>
      </w:pPr>
      <w:r>
        <w:rPr>
          <w:rFonts w:ascii="Times New Roman" w:eastAsia="黑体" w:hAnsi="Times New Roman"/>
          <w:b/>
          <w:bCs/>
          <w:color w:val="000000"/>
          <w:sz w:val="28"/>
          <w:szCs w:val="28"/>
        </w:rPr>
        <w:t xml:space="preserve">4.6 APP 内消息提醒</w:t>
      </w:r>
    </w:p>
    <w:p>
      <w:pPr>
        <w:spacing w:after="60" w:line="360" w:lineRule="auto"/>
        <w:ind w:firstLine="480"/>
      </w:pPr>
      <w:r>
        <w:rPr>
          <w:rFonts w:ascii="Times New Roman" w:eastAsia="仿宋" w:hAnsi="Times New Roman"/>
          <w:sz w:val="24"/>
          <w:szCs w:val="24"/>
        </w:rPr>
        <w:t xml:space="preserve">APP 退至后台或处于其他页面时，新消息提醒通过统一消息推送平台下发（见第五章）：平台将提醒事件推送至业主单位推送平台，由业主单位推送平台统一向 APP 下发系统级通知，保证离线触达。</w:t>
      </w:r>
    </w:p>
    <w:p>
      <w:pPr>
        <w:pStyle w:val="Heading1"/>
        <w:spacing w:after="120" w:before="240"/>
      </w:pPr>
      <w:r>
        <w:rPr>
          <w:rFonts w:ascii="Times New Roman" w:eastAsia="黑体" w:hAnsi="Times New Roman"/>
          <w:b/>
          <w:bCs/>
          <w:color w:val="000000"/>
          <w:sz w:val="32"/>
          <w:szCs w:val="32"/>
        </w:rPr>
        <w:t xml:space="preserve">五、与统一消息推送平台集成</w:t>
      </w:r>
    </w:p>
    <w:p>
      <w:pPr>
        <w:pStyle w:val="Heading2"/>
        <w:spacing w:after="100" w:before="200"/>
      </w:pPr>
      <w:r>
        <w:rPr>
          <w:rFonts w:ascii="Times New Roman" w:eastAsia="黑体" w:hAnsi="Times New Roman"/>
          <w:b/>
          <w:bCs/>
          <w:color w:val="000000"/>
          <w:sz w:val="28"/>
          <w:szCs w:val="28"/>
        </w:rPr>
        <w:t xml:space="preserve">5.1 集成模式</w:t>
      </w:r>
    </w:p>
    <w:p>
      <w:pPr>
        <w:spacing w:after="60" w:line="360" w:lineRule="auto"/>
        <w:ind w:firstLine="480"/>
      </w:pPr>
      <w:r>
        <w:rPr>
          <w:rFonts w:ascii="Times New Roman" w:eastAsia="仿宋" w:hAnsi="Times New Roman"/>
          <w:sz w:val="24"/>
          <w:szCs w:val="24"/>
        </w:rPr>
        <w:t xml:space="preserve">支持两种模式并行：其一，Webhook 事件回调——平台将订阅的事件实时推送至业主单位推送平台提供的回调地址，由业主单位侧统一分发；其二，主动调用推送——业主单位推送平台按需调用平台 API 拉取待通知数据。推荐采用 Webhook 模式为主。</w:t>
      </w:r>
    </w:p>
    <w:p>
      <w:pPr>
        <w:pStyle w:val="Heading2"/>
        <w:spacing w:after="100" w:before="200"/>
      </w:pPr>
      <w:r>
        <w:rPr>
          <w:rFonts w:ascii="Times New Roman" w:eastAsia="黑体" w:hAnsi="Times New Roman"/>
          <w:b/>
          <w:bCs/>
          <w:color w:val="000000"/>
          <w:sz w:val="28"/>
          <w:szCs w:val="28"/>
        </w:rPr>
        <w:t xml:space="preserve">5.2 推送事件清单</w:t>
      </w:r>
    </w:p>
    <w:p>
      <w:pPr>
        <w:spacing w:after="60" w:before="120"/>
        <w:jc w:val="center"/>
      </w:pPr>
      <w:r>
        <w:rPr>
          <w:rFonts w:ascii="Times New Roman" w:eastAsia="黑体" w:hAnsi="Times New Roman"/>
          <w:b/>
          <w:bCs/>
          <w:sz w:val="21"/>
          <w:szCs w:val="21"/>
        </w:rPr>
        <w:t xml:space="preserve">表 5-1 推送事件清单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24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事件代码</w:t>
            </w:r>
          </w:p>
        </w:tc>
        <w:tc>
          <w:tcPr>
            <w:tcW w:type="dxa" w:w="15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事件名称</w:t>
            </w:r>
          </w:p>
        </w:tc>
        <w:tc>
          <w:tcPr>
            <w:tcW w:type="dxa" w:w="3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触发时机</w:t>
            </w:r>
          </w:p>
        </w:tc>
        <w:tc>
          <w:tcPr>
            <w:tcW w:type="dxa" w:w="24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推送对象</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message.new</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新消息</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用户发送新消息/客服回复</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接收方</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thread.transfer</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会话转接</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会话被转接给其他客服</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新客服</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ticket.created</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工单创建</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工单创建成功</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处理人</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ticket.assigned</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工单分配</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工单被分配/认领</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处理人</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ticket.replied</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工单回复</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工单收到新回复</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处理人/报告人</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ticket.sla.timeout</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SLA 超时</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工单处理超时预警</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处理人及其主管</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ticket.resolved</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工单解决</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工单标记已解决</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报告人</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ticket.closed</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工单关闭</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工单关闭</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报告人</w:t>
            </w:r>
          </w:p>
        </w:tc>
      </w:tr>
      <w:tr>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notice.system</w:t>
            </w:r>
          </w:p>
        </w:tc>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系统通知</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平台公告/系统提醒</w:t>
            </w:r>
          </w:p>
        </w:tc>
        <w:tc>
          <w:tcPr>
            <w:tcW w:type="dxa" w:w="2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订阅用户</w:t>
            </w:r>
          </w:p>
        </w:tc>
      </w:tr>
    </w:tbl>
    <w:p>
      <w:pPr>
        <w:pStyle w:val="Heading2"/>
        <w:spacing w:after="100" w:before="200"/>
      </w:pPr>
      <w:r>
        <w:rPr>
          <w:rFonts w:ascii="Times New Roman" w:eastAsia="黑体" w:hAnsi="Times New Roman"/>
          <w:b/>
          <w:bCs/>
          <w:color w:val="000000"/>
          <w:sz w:val="28"/>
          <w:szCs w:val="28"/>
        </w:rPr>
        <w:t xml:space="preserve">5.3 回调报文规范</w:t>
      </w:r>
    </w:p>
    <w:p>
      <w:pPr>
        <w:spacing w:after="60" w:line="360" w:lineRule="auto"/>
        <w:ind w:firstLine="480"/>
      </w:pPr>
      <w:r>
        <w:rPr>
          <w:rFonts w:ascii="Times New Roman" w:eastAsia="仿宋" w:hAnsi="Times New Roman"/>
          <w:sz w:val="24"/>
          <w:szCs w:val="24"/>
        </w:rPr>
        <w:t xml:space="preserve">平台以 POST 方式推送 JSON 报文至业主单位回调地址，格式示例：</w:t>
      </w:r>
    </w:p>
    <w:p>
      <w:pPr>
        <w:shd w:fill="F2F2F2" w:color="auto" w:val="clear"/>
        <w:spacing w:after="10" w:line="276" w:lineRule="auto"/>
        <w:ind w:left="400"/>
      </w:pPr>
      <w:r>
        <w:rPr>
          <w:rFonts w:ascii="Consolas" w:eastAsia="仿宋" w:hAnsi="Consolas"/>
          <w:sz w:val="20"/>
          <w:szCs w:val="20"/>
        </w:rPr>
        <w:t xml:space="preserve">POST &lt;推送平台回调地址&gt;</w:t>
      </w:r>
    </w:p>
    <w:p>
      <w:pPr>
        <w:shd w:fill="F2F2F2" w:color="auto" w:val="clear"/>
        <w:spacing w:after="10" w:line="276" w:lineRule="auto"/>
        <w:ind w:left="400"/>
      </w:pPr>
      <w:r>
        <w:rPr>
          <w:rFonts w:ascii="Consolas" w:eastAsia="仿宋" w:hAnsi="Consolas"/>
          <w:sz w:val="20"/>
          <w:szCs w:val="20"/>
        </w:rPr>
        <w:t xml:space="preserve">Content-Type: application/json</w:t>
      </w:r>
    </w:p>
    <w:p>
      <w:pPr>
        <w:shd w:fill="F2F2F2" w:color="auto" w:val="clear"/>
        <w:spacing w:after="10" w:line="276" w:lineRule="auto"/>
        <w:ind w:left="400"/>
      </w:pPr>
      <w:r>
        <w:rPr>
          <w:rFonts w:ascii="Consolas" w:eastAsia="仿宋" w:hAnsi="Consolas"/>
          <w:sz w:val="20"/>
          <w:szCs w:val="20"/>
        </w:rPr>
        <w:t xml:space="preserve"/>
      </w:r>
    </w:p>
    <w:p>
      <w:pPr>
        <w:shd w:fill="F2F2F2" w:color="auto" w:val="clear"/>
        <w:spacing w:after="10" w:line="276" w:lineRule="auto"/>
        <w:ind w:left="400"/>
      </w:pPr>
      <w:r>
        <w:rPr>
          <w:rFonts w:ascii="Consolas" w:eastAsia="仿宋" w:hAnsi="Consolas"/>
          <w:sz w:val="20"/>
          <w:szCs w:val="20"/>
        </w:rPr>
        <w:t xml:space="preserve">{</w:t>
      </w:r>
    </w:p>
    <w:p>
      <w:pPr>
        <w:shd w:fill="F2F2F2" w:color="auto" w:val="clear"/>
        <w:spacing w:after="10" w:line="276" w:lineRule="auto"/>
        <w:ind w:left="400"/>
      </w:pPr>
      <w:r>
        <w:rPr>
          <w:rFonts w:ascii="Consolas" w:eastAsia="仿宋" w:hAnsi="Consolas"/>
          <w:sz w:val="20"/>
          <w:szCs w:val="20"/>
        </w:rPr>
        <w:t xml:space="preserve">  "event": "ticket.created",</w:t>
      </w:r>
    </w:p>
    <w:p>
      <w:pPr>
        <w:shd w:fill="F2F2F2" w:color="auto" w:val="clear"/>
        <w:spacing w:after="10" w:line="276" w:lineRule="auto"/>
        <w:ind w:left="400"/>
      </w:pPr>
      <w:r>
        <w:rPr>
          <w:rFonts w:ascii="Consolas" w:eastAsia="仿宋" w:hAnsi="Consolas"/>
          <w:sz w:val="20"/>
          <w:szCs w:val="20"/>
        </w:rPr>
        <w:t xml:space="preserve">  "timestamp": "2026-09-01 10:30:00",</w:t>
      </w:r>
    </w:p>
    <w:p>
      <w:pPr>
        <w:shd w:fill="F2F2F2" w:color="auto" w:val="clear"/>
        <w:spacing w:after="10" w:line="276" w:lineRule="auto"/>
        <w:ind w:left="400"/>
      </w:pPr>
      <w:r>
        <w:rPr>
          <w:rFonts w:ascii="Consolas" w:eastAsia="仿宋" w:hAnsi="Consolas"/>
          <w:sz w:val="20"/>
          <w:szCs w:val="20"/>
        </w:rPr>
        <w:t xml:space="preserve">  "sign": "&lt;签名&gt;",</w:t>
      </w:r>
    </w:p>
    <w:p>
      <w:pPr>
        <w:shd w:fill="F2F2F2" w:color="auto" w:val="clear"/>
        <w:spacing w:after="10" w:line="276" w:lineRule="auto"/>
        <w:ind w:left="400"/>
      </w:pPr>
      <w:r>
        <w:rPr>
          <w:rFonts w:ascii="Consolas" w:eastAsia="仿宋" w:hAnsi="Consolas"/>
          <w:sz w:val="20"/>
          <w:szCs w:val="20"/>
        </w:rPr>
        <w:t xml:space="preserve">  "data": {</w:t>
      </w:r>
    </w:p>
    <w:p>
      <w:pPr>
        <w:shd w:fill="F2F2F2" w:color="auto" w:val="clear"/>
        <w:spacing w:after="10" w:line="276" w:lineRule="auto"/>
        <w:ind w:left="400"/>
      </w:pPr>
      <w:r>
        <w:rPr>
          <w:rFonts w:ascii="Consolas" w:eastAsia="仿宋" w:hAnsi="Consolas"/>
          <w:sz w:val="20"/>
          <w:szCs w:val="20"/>
        </w:rPr>
        <w:t xml:space="preserve">    "ticketUid": "tk_20260901_0001",</w:t>
      </w:r>
    </w:p>
    <w:p>
      <w:pPr>
        <w:shd w:fill="F2F2F2" w:color="auto" w:val="clear"/>
        <w:spacing w:after="10" w:line="276" w:lineRule="auto"/>
        <w:ind w:left="400"/>
      </w:pPr>
      <w:r>
        <w:rPr>
          <w:rFonts w:ascii="Consolas" w:eastAsia="仿宋" w:hAnsi="Consolas"/>
          <w:sz w:val="20"/>
          <w:szCs w:val="20"/>
        </w:rPr>
        <w:t xml:space="preserve">    "title": "内网无法连接",</w:t>
      </w:r>
    </w:p>
    <w:p>
      <w:pPr>
        <w:shd w:fill="F2F2F2" w:color="auto" w:val="clear"/>
        <w:spacing w:after="10" w:line="276" w:lineRule="auto"/>
        <w:ind w:left="400"/>
      </w:pPr>
      <w:r>
        <w:rPr>
          <w:rFonts w:ascii="Consolas" w:eastAsia="仿宋" w:hAnsi="Consolas"/>
          <w:sz w:val="20"/>
          <w:szCs w:val="20"/>
        </w:rPr>
        <w:t xml:space="preserve">    "priority": "HIGH",</w:t>
      </w:r>
    </w:p>
    <w:p>
      <w:pPr>
        <w:shd w:fill="F2F2F2" w:color="auto" w:val="clear"/>
        <w:spacing w:after="10" w:line="276" w:lineRule="auto"/>
        <w:ind w:left="400"/>
      </w:pPr>
      <w:r>
        <w:rPr>
          <w:rFonts w:ascii="Consolas" w:eastAsia="仿宋" w:hAnsi="Consolas"/>
          <w:sz w:val="20"/>
          <w:szCs w:val="20"/>
        </w:rPr>
        <w:t xml:space="preserve">    "reporter": "20260001",</w:t>
      </w:r>
    </w:p>
    <w:p>
      <w:pPr>
        <w:shd w:fill="F2F2F2" w:color="auto" w:val="clear"/>
        <w:spacing w:after="10" w:line="276" w:lineRule="auto"/>
        <w:ind w:left="400"/>
      </w:pPr>
      <w:r>
        <w:rPr>
          <w:rFonts w:ascii="Consolas" w:eastAsia="仿宋" w:hAnsi="Consolas"/>
          <w:sz w:val="20"/>
          <w:szCs w:val="20"/>
        </w:rPr>
        <w:t xml:space="preserve">    "assignee": "agent_001"</w:t>
      </w:r>
    </w:p>
    <w:p>
      <w:pPr>
        <w:shd w:fill="F2F2F2" w:color="auto" w:val="clear"/>
        <w:spacing w:after="10" w:line="276" w:lineRule="auto"/>
        <w:ind w:left="400"/>
      </w:pPr>
      <w:r>
        <w:rPr>
          <w:rFonts w:ascii="Consolas" w:eastAsia="仿宋" w:hAnsi="Consolas"/>
          <w:sz w:val="20"/>
          <w:szCs w:val="20"/>
        </w:rPr>
        <w:t xml:space="preserve">  }</w:t>
      </w:r>
    </w:p>
    <w:p>
      <w:pPr>
        <w:shd w:fill="F2F2F2" w:color="auto" w:val="clear"/>
        <w:spacing w:after="10" w:line="276" w:lineRule="auto"/>
        <w:ind w:left="400"/>
      </w:pPr>
      <w:r>
        <w:rPr>
          <w:rFonts w:ascii="Consolas" w:eastAsia="仿宋" w:hAnsi="Consolas"/>
          <w:sz w:val="20"/>
          <w:szCs w:val="20"/>
        </w:rPr>
        <w:t xml:space="preserve">}</w:t>
      </w:r>
    </w:p>
    <w:p>
      <w:pPr>
        <w:pStyle w:val="Heading2"/>
        <w:spacing w:after="100" w:before="200"/>
      </w:pPr>
      <w:r>
        <w:rPr>
          <w:rFonts w:ascii="Times New Roman" w:eastAsia="黑体" w:hAnsi="Times New Roman"/>
          <w:b/>
          <w:bCs/>
          <w:color w:val="000000"/>
          <w:sz w:val="28"/>
          <w:szCs w:val="28"/>
        </w:rPr>
        <w:t xml:space="preserve">5.4 安全与可靠性约定</w:t>
      </w:r>
    </w:p>
    <w:p>
      <w:pPr>
        <w:pStyle w:val="ListParagraph"/>
        <w:numPr>
          <w:ilvl w:val="0"/>
          <w:numId w:val="2"/>
        </w:numPr>
        <w:spacing w:after="40" w:line="360" w:lineRule="auto"/>
      </w:pPr>
      <w:r>
        <w:rPr>
          <w:rFonts w:ascii="Times New Roman" w:eastAsia="仿宋" w:hAnsi="Times New Roman"/>
          <w:sz w:val="24"/>
          <w:szCs w:val="24"/>
        </w:rPr>
        <w:t xml:space="preserve">签名校验：报文携带 sign 字段（HMAC-SHA256，密钥双方线下交换），业主单位侧验签防篡改；</w:t>
      </w:r>
    </w:p>
    <w:p>
      <w:pPr>
        <w:pStyle w:val="ListParagraph"/>
        <w:numPr>
          <w:ilvl w:val="0"/>
          <w:numId w:val="2"/>
        </w:numPr>
        <w:spacing w:after="40" w:line="360" w:lineRule="auto"/>
      </w:pPr>
      <w:r>
        <w:rPr>
          <w:rFonts w:ascii="Times New Roman" w:eastAsia="仿宋" w:hAnsi="Times New Roman"/>
          <w:sz w:val="24"/>
          <w:szCs w:val="24"/>
        </w:rPr>
        <w:t xml:space="preserve">重试机制：推送失败（非 200 响应）按 1/5/30 分钟间隔重试 3 次；</w:t>
      </w:r>
    </w:p>
    <w:p>
      <w:pPr>
        <w:pStyle w:val="ListParagraph"/>
        <w:numPr>
          <w:ilvl w:val="0"/>
          <w:numId w:val="2"/>
        </w:numPr>
        <w:spacing w:after="40" w:line="360" w:lineRule="auto"/>
      </w:pPr>
      <w:r>
        <w:rPr>
          <w:rFonts w:ascii="Times New Roman" w:eastAsia="仿宋" w:hAnsi="Times New Roman"/>
          <w:sz w:val="24"/>
          <w:szCs w:val="24"/>
        </w:rPr>
        <w:t xml:space="preserve">幂等约定：报文含唯一 eventId，业主单位侧按 eventId 去重；</w:t>
      </w:r>
    </w:p>
    <w:p>
      <w:pPr>
        <w:pStyle w:val="ListParagraph"/>
        <w:numPr>
          <w:ilvl w:val="0"/>
          <w:numId w:val="2"/>
        </w:numPr>
        <w:spacing w:after="40" w:line="360" w:lineRule="auto"/>
      </w:pPr>
      <w:r>
        <w:rPr>
          <w:rFonts w:ascii="Times New Roman" w:eastAsia="仿宋" w:hAnsi="Times New Roman"/>
          <w:sz w:val="24"/>
          <w:szCs w:val="24"/>
        </w:rPr>
        <w:t xml:space="preserve">顺序性：同一工单事件按时间戳顺序推送，业主单位侧可按 timestamp 排序。</w:t>
      </w:r>
    </w:p>
    <w:p>
      <w:pPr>
        <w:pStyle w:val="Heading1"/>
        <w:spacing w:after="120" w:before="240"/>
      </w:pPr>
      <w:r>
        <w:rPr>
          <w:rFonts w:ascii="Times New Roman" w:eastAsia="黑体" w:hAnsi="Times New Roman"/>
          <w:b/>
          <w:bCs/>
          <w:color w:val="000000"/>
          <w:sz w:val="32"/>
          <w:szCs w:val="32"/>
        </w:rPr>
        <w:t xml:space="preserve">六、开放 API 接口清单</w:t>
      </w:r>
    </w:p>
    <w:p>
      <w:pPr>
        <w:pStyle w:val="Heading2"/>
        <w:spacing w:after="100" w:before="200"/>
      </w:pPr>
      <w:r>
        <w:rPr>
          <w:rFonts w:ascii="Times New Roman" w:eastAsia="黑体" w:hAnsi="Times New Roman"/>
          <w:b/>
          <w:bCs/>
          <w:color w:val="000000"/>
          <w:sz w:val="28"/>
          <w:szCs w:val="28"/>
        </w:rPr>
        <w:t xml:space="preserve">6.1 API 总览</w:t>
      </w:r>
    </w:p>
    <w:p>
      <w:pPr>
        <w:spacing w:after="60" w:line="360" w:lineRule="auto"/>
        <w:ind w:firstLine="480"/>
      </w:pPr>
      <w:r>
        <w:rPr>
          <w:rFonts w:ascii="Times New Roman" w:eastAsia="仿宋" w:hAnsi="Times New Roman"/>
          <w:sz w:val="24"/>
          <w:szCs w:val="24"/>
        </w:rPr>
        <w:t xml:space="preserve">平台开放 REST API，基础地址 https://&lt;平台域名&gt;/api/v1，全部接口支持 Swagger 在线文档（/swagger-ui.html）查看完整参数定义与在线调试。本章按分组列出核心接口清单，完整参数以 Swagger 在线文档为准。</w:t>
      </w:r>
    </w:p>
    <w:p>
      <w:pPr>
        <w:pStyle w:val="Heading2"/>
        <w:spacing w:after="100" w:before="200"/>
      </w:pPr>
      <w:r>
        <w:rPr>
          <w:rFonts w:ascii="Times New Roman" w:eastAsia="黑体" w:hAnsi="Times New Roman"/>
          <w:b/>
          <w:bCs/>
          <w:color w:val="000000"/>
          <w:sz w:val="28"/>
          <w:szCs w:val="28"/>
        </w:rPr>
        <w:t xml:space="preserve">6.2 接口鉴权</w:t>
      </w:r>
    </w:p>
    <w:p>
      <w:pPr>
        <w:spacing w:after="60" w:line="360" w:lineRule="auto"/>
        <w:ind w:firstLine="480"/>
      </w:pPr>
      <w:r>
        <w:rPr>
          <w:rFonts w:ascii="Times New Roman" w:eastAsia="仿宋" w:hAnsi="Times New Roman"/>
          <w:sz w:val="24"/>
          <w:szCs w:val="24"/>
        </w:rPr>
        <w:t xml:space="preserve">调用开放 API 前需先获取 AccessToken：</w:t>
      </w:r>
    </w:p>
    <w:p>
      <w:pPr>
        <w:shd w:fill="F2F2F2" w:color="auto" w:val="clear"/>
        <w:spacing w:after="10" w:line="276" w:lineRule="auto"/>
        <w:ind w:left="400"/>
      </w:pPr>
      <w:r>
        <w:rPr>
          <w:rFonts w:ascii="Consolas" w:eastAsia="仿宋" w:hAnsi="Consolas"/>
          <w:sz w:val="20"/>
          <w:szCs w:val="20"/>
        </w:rPr>
        <w:t xml:space="preserve"># 获取访问令牌</w:t>
      </w:r>
    </w:p>
    <w:p>
      <w:pPr>
        <w:shd w:fill="F2F2F2" w:color="auto" w:val="clear"/>
        <w:spacing w:after="10" w:line="276" w:lineRule="auto"/>
        <w:ind w:left="400"/>
      </w:pPr>
      <w:r>
        <w:rPr>
          <w:rFonts w:ascii="Consolas" w:eastAsia="仿宋" w:hAnsi="Consolas"/>
          <w:sz w:val="20"/>
          <w:szCs w:val="20"/>
        </w:rPr>
        <w:t xml:space="preserve">curl -X POST "https://&lt;平台域名&gt;/api/v1/auth/login" \</w:t>
      </w:r>
    </w:p>
    <w:p>
      <w:pPr>
        <w:shd w:fill="F2F2F2" w:color="auto" w:val="clear"/>
        <w:spacing w:after="10" w:line="276" w:lineRule="auto"/>
        <w:ind w:left="400"/>
      </w:pPr>
      <w:r>
        <w:rPr>
          <w:rFonts w:ascii="Consolas" w:eastAsia="仿宋" w:hAnsi="Consolas"/>
          <w:sz w:val="20"/>
          <w:szCs w:val="20"/>
        </w:rPr>
        <w:t xml:space="preserve">  -H "Content-Type: application/json" \</w:t>
      </w:r>
    </w:p>
    <w:p>
      <w:pPr>
        <w:shd w:fill="F2F2F2" w:color="auto" w:val="clear"/>
        <w:spacing w:after="10" w:line="276" w:lineRule="auto"/>
        <w:ind w:left="400"/>
      </w:pPr>
      <w:r>
        <w:rPr>
          <w:rFonts w:ascii="Consolas" w:eastAsia="仿宋" w:hAnsi="Consolas"/>
          <w:sz w:val="20"/>
          <w:szCs w:val="20"/>
        </w:rPr>
        <w:t xml:space="preserve">  -d '{"username": "&lt;API账号&gt;", "password": "&lt;API密码&gt;"}'</w:t>
      </w:r>
    </w:p>
    <w:p>
      <w:pPr>
        <w:shd w:fill="F2F2F2" w:color="auto" w:val="clear"/>
        <w:spacing w:after="10" w:line="276" w:lineRule="auto"/>
        <w:ind w:left="400"/>
      </w:pPr>
      <w:r>
        <w:rPr>
          <w:rFonts w:ascii="Consolas" w:eastAsia="仿宋" w:hAnsi="Consolas"/>
          <w:sz w:val="20"/>
          <w:szCs w:val="20"/>
        </w:rPr>
        <w:t xml:space="preserve"/>
      </w:r>
    </w:p>
    <w:p>
      <w:pPr>
        <w:shd w:fill="F2F2F2" w:color="auto" w:val="clear"/>
        <w:spacing w:after="10" w:line="276" w:lineRule="auto"/>
        <w:ind w:left="400"/>
      </w:pPr>
      <w:r>
        <w:rPr>
          <w:rFonts w:ascii="Consolas" w:eastAsia="仿宋" w:hAnsi="Consolas"/>
          <w:sz w:val="20"/>
          <w:szCs w:val="20"/>
        </w:rPr>
        <w:t xml:space="preserve"># 返回：{ "code": 200, "data": { "accessToken": "&lt;令牌&gt;" } }</w:t>
      </w:r>
    </w:p>
    <w:p>
      <w:pPr>
        <w:shd w:fill="F2F2F2" w:color="auto" w:val="clear"/>
        <w:spacing w:after="10" w:line="276" w:lineRule="auto"/>
        <w:ind w:left="400"/>
      </w:pPr>
      <w:r>
        <w:rPr>
          <w:rFonts w:ascii="Consolas" w:eastAsia="仿宋" w:hAnsi="Consolas"/>
          <w:sz w:val="20"/>
          <w:szCs w:val="20"/>
        </w:rPr>
        <w:t xml:space="preserve"/>
      </w:r>
    </w:p>
    <w:p>
      <w:pPr>
        <w:shd w:fill="F2F2F2" w:color="auto" w:val="clear"/>
        <w:spacing w:after="10" w:line="276" w:lineRule="auto"/>
        <w:ind w:left="400"/>
      </w:pPr>
      <w:r>
        <w:rPr>
          <w:rFonts w:ascii="Consolas" w:eastAsia="仿宋" w:hAnsi="Consolas"/>
          <w:sz w:val="20"/>
          <w:szCs w:val="20"/>
        </w:rPr>
        <w:t xml:space="preserve"># 携带令牌调用业务接口</w:t>
      </w:r>
    </w:p>
    <w:p>
      <w:pPr>
        <w:shd w:fill="F2F2F2" w:color="auto" w:val="clear"/>
        <w:spacing w:after="10" w:line="276" w:lineRule="auto"/>
        <w:ind w:left="400"/>
      </w:pPr>
      <w:r>
        <w:rPr>
          <w:rFonts w:ascii="Consolas" w:eastAsia="仿宋" w:hAnsi="Consolas"/>
          <w:sz w:val="20"/>
          <w:szCs w:val="20"/>
        </w:rPr>
        <w:t xml:space="preserve">curl "https://&lt;平台域名&gt;/api/v1/ticket/query/org?page=1&amp;size=20" \</w:t>
      </w:r>
    </w:p>
    <w:p>
      <w:pPr>
        <w:shd w:fill="F2F2F2" w:color="auto" w:val="clear"/>
        <w:spacing w:after="10" w:line="276" w:lineRule="auto"/>
        <w:ind w:left="400"/>
      </w:pPr>
      <w:r>
        <w:rPr>
          <w:rFonts w:ascii="Consolas" w:eastAsia="仿宋" w:hAnsi="Consolas"/>
          <w:sz w:val="20"/>
          <w:szCs w:val="20"/>
        </w:rPr>
        <w:t xml:space="preserve">  -H "Authorization: "Bearer &lt;令牌&gt;""</w:t>
      </w:r>
    </w:p>
    <w:p>
      <w:pPr>
        <w:spacing w:after="60" w:line="360" w:lineRule="auto"/>
        <w:ind w:firstLine="480"/>
      </w:pPr>
      <w:r>
        <w:rPr>
          <w:rFonts w:ascii="Times New Roman" w:eastAsia="仿宋" w:hAnsi="Times New Roman"/>
          <w:sz w:val="24"/>
          <w:szCs w:val="24"/>
        </w:rPr>
        <w:t xml:space="preserve">AccessToken 有效期 2 小时，过期前可通过刷新接口续期；令牌泄露可即时吊销重发。</w:t>
      </w:r>
    </w:p>
    <w:p>
      <w:pPr>
        <w:pStyle w:val="Heading2"/>
        <w:spacing w:after="100" w:before="200"/>
      </w:pPr>
      <w:r>
        <w:rPr>
          <w:rFonts w:ascii="Times New Roman" w:eastAsia="黑体" w:hAnsi="Times New Roman"/>
          <w:b/>
          <w:bCs/>
          <w:color w:val="000000"/>
          <w:sz w:val="28"/>
          <w:szCs w:val="28"/>
        </w:rPr>
        <w:t xml:space="preserve">6.3 API 分组清单</w:t>
      </w:r>
    </w:p>
    <w:p>
      <w:pPr>
        <w:spacing w:after="60" w:before="120"/>
        <w:jc w:val="center"/>
      </w:pPr>
      <w:r>
        <w:rPr>
          <w:rFonts w:ascii="Times New Roman" w:eastAsia="黑体" w:hAnsi="Times New Roman"/>
          <w:b/>
          <w:bCs/>
          <w:sz w:val="21"/>
          <w:szCs w:val="21"/>
        </w:rPr>
        <w:t xml:space="preserve">表 6-1 API 分组总览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分组</w:t>
            </w:r>
          </w:p>
        </w:tc>
        <w:tc>
          <w:tcPr>
            <w:tcW w:type="dxa" w:w="1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接口数</w:t>
            </w:r>
          </w:p>
        </w:tc>
        <w:tc>
          <w:tcPr>
            <w:tcW w:type="dxa" w:w="56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覆盖能力</w:t>
            </w:r>
          </w:p>
        </w:tc>
      </w:tr>
      <w:tr>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认证与用户</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9</w:t>
            </w:r>
          </w:p>
        </w:tc>
        <w:tc>
          <w:tcPr>
            <w:tcW w:type="dxa" w:w="5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登录鉴权、用户信息、人员批量同步</w:t>
            </w:r>
          </w:p>
        </w:tc>
      </w:tr>
      <w:tr>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会话与消息</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7</w:t>
            </w:r>
          </w:p>
        </w:tc>
        <w:tc>
          <w:tcPr>
            <w:tcW w:type="dxa" w:w="5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会话查询、消息收发、历史记录、评价</w:t>
            </w:r>
          </w:p>
        </w:tc>
      </w:tr>
      <w:tr>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工单</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10</w:t>
            </w:r>
          </w:p>
        </w:tc>
        <w:tc>
          <w:tcPr>
            <w:tcW w:type="dxa" w:w="5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工单全生命周期管理与统计</w:t>
            </w:r>
          </w:p>
        </w:tc>
      </w:tr>
      <w:tr>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知识库</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6</w:t>
            </w:r>
          </w:p>
        </w:tc>
        <w:tc>
          <w:tcPr>
            <w:tcW w:type="dxa" w:w="5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文章、FAQ、分类、检索</w:t>
            </w:r>
          </w:p>
        </w:tc>
      </w:tr>
      <w:tr>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通知与推送</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w:t>
            </w:r>
          </w:p>
        </w:tc>
        <w:tc>
          <w:tcPr>
            <w:tcW w:type="dxa" w:w="5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通知发送、订阅管理、Webhook 配置</w:t>
            </w:r>
          </w:p>
        </w:tc>
      </w:tr>
      <w:tr>
        <w:tc>
          <w:tcPr>
            <w:tcW w:type="dxa" w:w="2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数据统计</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w:t>
            </w:r>
          </w:p>
        </w:tc>
        <w:tc>
          <w:tcPr>
            <w:tcW w:type="dxa" w:w="5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服务量、满意度、趋势、机器人统计</w:t>
            </w:r>
          </w:p>
        </w:tc>
      </w:tr>
    </w:tbl>
    <w:p>
      <w:pPr>
        <w:spacing w:after="60" w:before="120"/>
        <w:jc w:val="center"/>
      </w:pPr>
      <w:r>
        <w:rPr>
          <w:rFonts w:ascii="Times New Roman" w:eastAsia="黑体" w:hAnsi="Times New Roman"/>
          <w:b/>
          <w:bCs/>
          <w:sz w:val="21"/>
          <w:szCs w:val="21"/>
        </w:rPr>
        <w:t xml:space="preserve">表 6-2 认证与用户类接口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900"/>
        <w:gridCol w:w="3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接口名称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方法</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路径</w:t>
            </w:r>
          </w:p>
        </w:tc>
        <w:tc>
          <w:tcPr>
            <w:tcW w:type="dxa" w:w="3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用途</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用户登录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/auth/login</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账号密码登录，获取 AccessToken</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用户登出</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/auth/logout</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退出登录，吊销令牌</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CAS 授权跳转</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/auth/cas/authorize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生成 CAS 登录跳转地址</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CAS 登录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/auth/cas/login</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校验 ticket 完成登录</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当前用户信息</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/user/query/current</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获取当前登录用户详情</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用户列表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/user/query/org</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分页查询组织内用户</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创建用户</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/user/create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创建平台用户</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更新用户</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/user/update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更新用户资料</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人员批量同步</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/user/sync/batch</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工号/电话/部门批量同步（见 2.5）</w:t>
            </w:r>
          </w:p>
        </w:tc>
      </w:tr>
    </w:tbl>
    <w:p>
      <w:pPr>
        <w:spacing w:after="60" w:before="120"/>
        <w:jc w:val="center"/>
      </w:pPr>
      <w:r>
        <w:rPr>
          <w:rFonts w:ascii="Times New Roman" w:eastAsia="黑体" w:hAnsi="Times New Roman"/>
          <w:b/>
          <w:bCs/>
          <w:sz w:val="21"/>
          <w:szCs w:val="21"/>
        </w:rPr>
        <w:t xml:space="preserve">表 6-3 会话与消息类接口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900"/>
        <w:gridCol w:w="3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接口名称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方法</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路径</w:t>
            </w:r>
          </w:p>
        </w:tc>
        <w:tc>
          <w:tcPr>
            <w:tcW w:type="dxa" w:w="3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用途</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会话列表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/thread/query/org</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分页查询组织会话</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会话详情</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/thread/query/uid</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按会话标识查询详情</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发送消息</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/message/send</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向指定会话发送消息</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历史消息</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/message/query/thread</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分页查询会话消息记录</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关闭会话</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/thread/close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关闭指定会话</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满意度评价</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/message/rate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提交会话满意度评分</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会话统计</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/thread/statistic</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会话量、时长等统计</w:t>
            </w:r>
          </w:p>
        </w:tc>
      </w:tr>
    </w:tbl>
    <w:p>
      <w:pPr>
        <w:spacing w:after="60" w:before="120"/>
        <w:jc w:val="center"/>
      </w:pPr>
      <w:r>
        <w:rPr>
          <w:rFonts w:ascii="Times New Roman" w:eastAsia="黑体" w:hAnsi="Times New Roman"/>
          <w:b/>
          <w:bCs/>
          <w:sz w:val="21"/>
          <w:szCs w:val="21"/>
        </w:rPr>
        <w:t xml:space="preserve">表 6-4 工单类接口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900"/>
        <w:gridCol w:w="3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接口名称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方法</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路径</w:t>
            </w:r>
          </w:p>
        </w:tc>
        <w:tc>
          <w:tcPr>
            <w:tcW w:type="dxa" w:w="3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用途</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创建工单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/ticket/create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创建工单（支持业务系统对接）</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工单列表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/ticket/query/org</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分页查询组织工单</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工单详情</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/ticket/query/uid</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按工单标识查询详情与动态</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分配工单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/ticket/assign</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分配至处理人</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认领工单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/ticket/claim</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处理人认领</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转交工单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/ticket/transfer</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转交其他人员/部门</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工单回复</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/ticket/reply</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添加处理回复</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解决工单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/ticket/resolve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标记已解决</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关闭工单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/ticket/close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关闭工单</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工单统计</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/ticket/statistic</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数量、状态分布、时效统计</w:t>
            </w:r>
          </w:p>
        </w:tc>
      </w:tr>
    </w:tbl>
    <w:p>
      <w:pPr>
        <w:spacing w:after="60" w:before="120"/>
        <w:jc w:val="center"/>
      </w:pPr>
      <w:r>
        <w:rPr>
          <w:rFonts w:ascii="Times New Roman" w:eastAsia="黑体" w:hAnsi="Times New Roman"/>
          <w:b/>
          <w:bCs/>
          <w:sz w:val="21"/>
          <w:szCs w:val="21"/>
        </w:rPr>
        <w:t xml:space="preserve">表 6-5 知识库类接口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900"/>
        <w:gridCol w:w="3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接口名称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方法</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路径</w:t>
            </w:r>
          </w:p>
        </w:tc>
        <w:tc>
          <w:tcPr>
            <w:tcW w:type="dxa" w:w="3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用途</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创建文章</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/kbase/article/create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创建帮助中心文章</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文章列表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/kbase/article/query</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分页查询文章</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 FAQ</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/kbase/faq/create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创建常见问答对</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FAQ 列表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/kbase/faq/query</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分页查询问答对</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创建分类</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/kbase/category/create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创建多级分类</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知识检索</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/kbase/search</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全文/语义检索知识库</w:t>
            </w:r>
          </w:p>
        </w:tc>
      </w:tr>
    </w:tbl>
    <w:p>
      <w:pPr>
        <w:spacing w:after="60" w:before="120"/>
        <w:jc w:val="center"/>
      </w:pPr>
      <w:r>
        <w:rPr>
          <w:rFonts w:ascii="Times New Roman" w:eastAsia="黑体" w:hAnsi="Times New Roman"/>
          <w:b/>
          <w:bCs/>
          <w:sz w:val="21"/>
          <w:szCs w:val="21"/>
        </w:rPr>
        <w:t xml:space="preserve">表 6-6 通知与推送类接口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900"/>
        <w:gridCol w:w="3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接口名称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方法</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路径</w:t>
            </w:r>
          </w:p>
        </w:tc>
        <w:tc>
          <w:tcPr>
            <w:tcW w:type="dxa" w:w="3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用途</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发送通知</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/notice/send</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向用户/部门发送站内通知</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通知列表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/notice/query</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查询通知记录</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订阅通知</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/notification/subscribe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管理用户通知订阅</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通知记录</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/notification/query</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查询推送送达记录</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 Webhook</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POST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/webhook/create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配置事件回调地址</w:t>
            </w:r>
          </w:p>
        </w:tc>
      </w:tr>
    </w:tbl>
    <w:p>
      <w:pPr>
        <w:spacing w:after="60" w:before="120"/>
        <w:jc w:val="center"/>
      </w:pPr>
      <w:r>
        <w:rPr>
          <w:rFonts w:ascii="Times New Roman" w:eastAsia="黑体" w:hAnsi="Times New Roman"/>
          <w:b/>
          <w:bCs/>
          <w:sz w:val="21"/>
          <w:szCs w:val="21"/>
        </w:rPr>
        <w:t xml:space="preserve">表 6-7 数据统计类接口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900"/>
        <w:gridCol w:w="3326"/>
      </w:tblGrid>
      <w:tr>
        <w:trPr>
          <w:tblHeader/>
        </w:trPr>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接口名称</w:t>
            </w:r>
          </w:p>
        </w:tc>
        <w:tc>
          <w:tcPr>
            <w:tcW w:type="dxa" w:w="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方法</w:t>
            </w:r>
          </w:p>
        </w:tc>
        <w:tc>
          <w:tcPr>
            <w:tcW w:type="dxa" w:w="2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路径</w:t>
            </w:r>
          </w:p>
        </w:tc>
        <w:tc>
          <w:tcPr>
            <w:tcW w:type="dxa" w:w="3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用途</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服务量统计</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/statistic/thread</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服务总量、趋势、渠道分布</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工单统计</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/statistic/ticket</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工单量、解决率、时效</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满意度统计</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/statistic/rate</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满意度评分分布与均值</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机器人统计</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/statistic/robot</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机器人服务率、转人工率</w:t>
            </w:r>
          </w:p>
        </w:tc>
      </w:tr>
      <w:tr>
        <w:tc>
          <w:tcPr>
            <w:tcW w:type="dxa" w:w="1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运营报表</w:t>
            </w:r>
          </w:p>
        </w:tc>
        <w:tc>
          <w:tcPr>
            <w:tcW w:type="dxa" w:w="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GET</w:t>
            </w:r>
          </w:p>
        </w:tc>
        <w:tc>
          <w:tcPr>
            <w:tcW w:type="dxa" w:w="2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/statistic/report</w:t>
            </w:r>
          </w:p>
        </w:tc>
        <w:tc>
          <w:tcPr>
            <w:tcW w:type="dxa" w:w="3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综合运营报表数据导出</w:t>
            </w:r>
          </w:p>
        </w:tc>
      </w:tr>
    </w:tbl>
    <w:p>
      <w:pPr>
        <w:pStyle w:val="Heading2"/>
        <w:spacing w:after="100" w:before="200"/>
      </w:pPr>
      <w:r>
        <w:rPr>
          <w:rFonts w:ascii="Times New Roman" w:eastAsia="黑体" w:hAnsi="Times New Roman"/>
          <w:b/>
          <w:bCs/>
          <w:color w:val="000000"/>
          <w:sz w:val="28"/>
          <w:szCs w:val="28"/>
        </w:rPr>
        <w:t xml:space="preserve">6.4 通用响应结构与错误码</w:t>
      </w:r>
    </w:p>
    <w:p>
      <w:pPr>
        <w:spacing w:after="60" w:line="360" w:lineRule="auto"/>
        <w:ind w:firstLine="480"/>
      </w:pPr>
      <w:r>
        <w:rPr>
          <w:rFonts w:ascii="Times New Roman" w:eastAsia="仿宋" w:hAnsi="Times New Roman"/>
          <w:sz w:val="24"/>
          <w:szCs w:val="24"/>
        </w:rPr>
        <w:t xml:space="preserve">全部接口返回统一 JsonResult 结构：code（状态码）、message（提示信息）、data（业务数据）。常用错误码如下：</w:t>
      </w:r>
    </w:p>
    <w:p>
      <w:pPr>
        <w:spacing w:after="60" w:before="120"/>
        <w:jc w:val="center"/>
      </w:pPr>
      <w:r>
        <w:rPr>
          <w:rFonts w:ascii="Times New Roman" w:eastAsia="黑体" w:hAnsi="Times New Roman"/>
          <w:b/>
          <w:bCs/>
          <w:sz w:val="21"/>
          <w:szCs w:val="21"/>
        </w:rPr>
        <w:t xml:space="preserve">表 6-8 常用错误码表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rPr>
          <w:tblHeader/>
        </w:trPr>
        <w:tc>
          <w:tcPr>
            <w:tcW w:type="dxa" w:w="1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错误码</w:t>
            </w:r>
          </w:p>
        </w:tc>
        <w:tc>
          <w:tcPr>
            <w:tcW w:type="dxa" w:w="3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含义</w:t>
            </w:r>
          </w:p>
        </w:tc>
        <w:tc>
          <w:tcPr>
            <w:tcW w:type="dxa" w:w="46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处理建议</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200</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成功</w:t>
            </w:r>
          </w:p>
        </w:tc>
        <w:tc>
          <w:tcPr>
            <w:tcW w:type="dxa" w:w="4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400</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参数错误</w:t>
            </w:r>
          </w:p>
        </w:tc>
        <w:tc>
          <w:tcPr>
            <w:tcW w:type="dxa" w:w="4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检查请求参数格式</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401</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未认证/令牌失效</w:t>
            </w:r>
          </w:p>
        </w:tc>
        <w:tc>
          <w:tcPr>
            <w:tcW w:type="dxa" w:w="4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重新获取 AccessToken</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403</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无接口权限</w:t>
            </w:r>
          </w:p>
        </w:tc>
        <w:tc>
          <w:tcPr>
            <w:tcW w:type="dxa" w:w="4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联系管理员开通权限</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404</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资源不存在</w:t>
            </w:r>
          </w:p>
        </w:tc>
        <w:tc>
          <w:tcPr>
            <w:tcW w:type="dxa" w:w="4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核对请求路径与标识</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500</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服务器内部错误</w:t>
            </w:r>
          </w:p>
        </w:tc>
        <w:tc>
          <w:tcPr>
            <w:tcW w:type="dxa" w:w="46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联系技术支持并提供 requestId</w:t>
            </w:r>
          </w:p>
        </w:tc>
      </w:tr>
    </w:tbl>
    <w:p>
      <w:pPr>
        <w:pStyle w:val="Heading1"/>
        <w:spacing w:after="120" w:before="240"/>
      </w:pPr>
      <w:r>
        <w:rPr>
          <w:rFonts w:ascii="Times New Roman" w:eastAsia="黑体" w:hAnsi="Times New Roman"/>
          <w:b/>
          <w:bCs/>
          <w:color w:val="000000"/>
          <w:sz w:val="32"/>
          <w:szCs w:val="32"/>
        </w:rPr>
        <w:t xml:space="preserve">七、技术文档交付清单</w:t>
      </w:r>
    </w:p>
    <w:p>
      <w:pPr>
        <w:spacing w:after="60" w:before="120"/>
        <w:jc w:val="center"/>
      </w:pPr>
      <w:r>
        <w:rPr>
          <w:rFonts w:ascii="Times New Roman" w:eastAsia="黑体" w:hAnsi="Times New Roman"/>
          <w:b/>
          <w:bCs/>
          <w:sz w:val="21"/>
          <w:szCs w:val="21"/>
        </w:rPr>
        <w:t xml:space="preserve">表 7-1 随项目交付文档清单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00"/>
        <w:gridCol w:w="2526"/>
      </w:tblGrid>
      <w:tr>
        <w:trPr>
          <w:tblHeader/>
        </w:trPr>
        <w:tc>
          <w:tcPr>
            <w:tcW w:type="dxa" w:w="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序号</w:t>
            </w:r>
          </w:p>
        </w:tc>
        <w:tc>
          <w:tcPr>
            <w:tcW w:type="dxa" w:w="3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文档名称</w:t>
            </w:r>
          </w:p>
        </w:tc>
        <w:tc>
          <w:tcPr>
            <w:tcW w:type="dxa" w:w="25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形式</w:t>
            </w:r>
          </w:p>
        </w:tc>
        <w:tc>
          <w:tcPr>
            <w:tcW w:type="dxa" w:w="25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交付时点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集成标准（本文档）</w:t>
            </w:r>
          </w:p>
        </w:tc>
        <w:tc>
          <w:tcPr>
            <w:tcW w:type="dxa" w:w="2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Word/PDF</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合同签订后随实施方案交付</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API 接口手册</w:t>
            </w:r>
          </w:p>
        </w:tc>
        <w:tc>
          <w:tcPr>
            <w:tcW w:type="dxa" w:w="2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Swagger 在线版 + 离线 PDF</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系统部署完成后</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3</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集成实施手册</w:t>
            </w:r>
          </w:p>
        </w:tc>
        <w:tc>
          <w:tcPr>
            <w:tcW w:type="dxa" w:w="2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Word/PDF</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集成对接阶段前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参数配置表</w:t>
            </w:r>
          </w:p>
        </w:tc>
        <w:tc>
          <w:tcPr>
            <w:tcW w:type="dxa" w:w="2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Excel</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集成对接阶段前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联调用例集</w:t>
            </w:r>
          </w:p>
        </w:tc>
        <w:tc>
          <w:tcPr>
            <w:tcW w:type="dxa" w:w="2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Excel</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联调开始前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6</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接口变更记录</w:t>
            </w:r>
          </w:p>
        </w:tc>
        <w:tc>
          <w:tcPr>
            <w:tcW w:type="dxa" w:w="2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在线/邮件通知</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维护期持续</w:t>
            </w:r>
          </w:p>
        </w:tc>
      </w:tr>
    </w:tbl>
    <w:p>
      <w:pPr>
        <w:spacing w:after="60" w:line="360" w:lineRule="auto"/>
        <w:ind w:firstLine="480"/>
      </w:pPr>
      <w:r>
        <w:rPr>
          <w:rFonts w:ascii="Times New Roman" w:eastAsia="仿宋" w:hAnsi="Times New Roman"/>
          <w:sz w:val="24"/>
          <w:szCs w:val="24"/>
        </w:rPr>
        <w:t xml:space="preserve">全部文档随版本升级同步更新；接口如有不兼容变更，提前 15 个工作日书面通知业主单位并保留旧版本并行期不少于 30 天。</w:t>
      </w:r>
    </w:p>
    <w:p>
      <w:pPr>
        <w:pStyle w:val="Heading1"/>
        <w:spacing w:after="120" w:before="240"/>
      </w:pPr>
      <w:r>
        <w:rPr>
          <w:rFonts w:ascii="Times New Roman" w:eastAsia="黑体" w:hAnsi="Times New Roman"/>
          <w:b/>
          <w:bCs/>
          <w:color w:val="000000"/>
          <w:sz w:val="32"/>
          <w:szCs w:val="32"/>
        </w:rPr>
        <w:t xml:space="preserve">八、集成实施流程与配合事项</w:t>
      </w:r>
    </w:p>
    <w:p>
      <w:pPr>
        <w:pStyle w:val="Heading2"/>
        <w:spacing w:after="100" w:before="200"/>
      </w:pPr>
      <w:r>
        <w:rPr>
          <w:rFonts w:ascii="Times New Roman" w:eastAsia="黑体" w:hAnsi="Times New Roman"/>
          <w:b/>
          <w:bCs/>
          <w:color w:val="000000"/>
          <w:sz w:val="28"/>
          <w:szCs w:val="28"/>
        </w:rPr>
        <w:t xml:space="preserve">8.1 实施步骤</w:t>
      </w:r>
    </w:p>
    <w:p>
      <w:pPr>
        <w:spacing w:after="60" w:before="120"/>
        <w:jc w:val="center"/>
      </w:pPr>
      <w:r>
        <w:rPr>
          <w:rFonts w:ascii="Times New Roman" w:eastAsia="黑体" w:hAnsi="Times New Roman"/>
          <w:b/>
          <w:bCs/>
          <w:sz w:val="21"/>
          <w:szCs w:val="21"/>
        </w:rPr>
        <w:t xml:space="preserve">表 8-1 集成实施步骤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300"/>
        <w:gridCol w:w="2526"/>
      </w:tblGrid>
      <w:tr>
        <w:trPr>
          <w:tblHeader/>
        </w:trPr>
        <w:tc>
          <w:tcPr>
            <w:tcW w:type="dxa" w:w="1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阶段</w:t>
            </w:r>
          </w:p>
        </w:tc>
        <w:tc>
          <w:tcPr>
            <w:tcW w:type="dxa" w:w="3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工作内容</w:t>
            </w:r>
          </w:p>
        </w:tc>
        <w:tc>
          <w:tcPr>
            <w:tcW w:type="dxa" w:w="1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责任方</w:t>
            </w:r>
          </w:p>
        </w:tc>
        <w:tc>
          <w:tcPr>
            <w:tcW w:type="dxa" w:w="25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工期参考</w:t>
            </w:r>
          </w:p>
        </w:tc>
      </w:tr>
      <w:tr>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 申请</w:t>
            </w:r>
          </w:p>
        </w:tc>
        <w:tc>
          <w:tcPr>
            <w:tcW w:type="dxa" w:w="3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业主单位开放认证参数/企微管理权限/推送平台接口文档</w:t>
            </w:r>
          </w:p>
        </w:tc>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业主单位</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3–5 天</w:t>
            </w:r>
          </w:p>
        </w:tc>
      </w:tr>
      <w:tr>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 配置</w:t>
            </w:r>
          </w:p>
        </w:tc>
        <w:tc>
          <w:tcPr>
            <w:tcW w:type="dxa" w:w="3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平台侧完成各集成通道参数配置</w:t>
            </w:r>
          </w:p>
        </w:tc>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供应商</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2–3 天</w:t>
            </w:r>
          </w:p>
        </w:tc>
      </w:tr>
      <w:tr>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3. 联调</w:t>
            </w:r>
          </w:p>
        </w:tc>
        <w:tc>
          <w:tcPr>
            <w:tcW w:type="dxa" w:w="3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按联调用例逐项联调（SSO/企微/APP/推送）</w:t>
            </w:r>
          </w:p>
        </w:tc>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双方</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5–10 天</w:t>
            </w:r>
          </w:p>
        </w:tc>
      </w:tr>
      <w:tr>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4. 验证</w:t>
            </w:r>
          </w:p>
        </w:tc>
        <w:tc>
          <w:tcPr>
            <w:tcW w:type="dxa" w:w="3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全流程验证与安全复核</w:t>
            </w:r>
          </w:p>
        </w:tc>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双方</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2–3 天</w:t>
            </w:r>
          </w:p>
        </w:tc>
      </w:tr>
      <w:tr>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5. 交付</w:t>
            </w:r>
          </w:p>
        </w:tc>
        <w:tc>
          <w:tcPr>
            <w:tcW w:type="dxa" w:w="39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签署集成验证报告，交付文档</w:t>
            </w:r>
          </w:p>
        </w:tc>
        <w:tc>
          <w:tcPr>
            <w:tcW w:type="dxa" w:w="1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双方</w:t>
            </w:r>
          </w:p>
        </w:tc>
        <w:tc>
          <w:tcPr>
            <w:tcW w:type="dxa" w:w="25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1 天</w:t>
            </w:r>
          </w:p>
        </w:tc>
      </w:tr>
    </w:tbl>
    <w:p>
      <w:pPr>
        <w:pStyle w:val="Heading2"/>
        <w:spacing w:after="100" w:before="200"/>
      </w:pPr>
      <w:r>
        <w:rPr>
          <w:rFonts w:ascii="Times New Roman" w:eastAsia="黑体" w:hAnsi="Times New Roman"/>
          <w:b/>
          <w:bCs/>
          <w:color w:val="000000"/>
          <w:sz w:val="28"/>
          <w:szCs w:val="28"/>
        </w:rPr>
        <w:t xml:space="preserve">8.2 双方职责分工</w:t>
      </w:r>
    </w:p>
    <w:p>
      <w:pPr>
        <w:spacing w:after="60" w:before="120"/>
        <w:jc w:val="center"/>
      </w:pPr>
      <w:r>
        <w:rPr>
          <w:rFonts w:ascii="Times New Roman" w:eastAsia="黑体" w:hAnsi="Times New Roman"/>
          <w:b/>
          <w:bCs/>
          <w:sz w:val="21"/>
          <w:szCs w:val="21"/>
        </w:rPr>
        <w:t xml:space="preserve">表 8-2 双方职责分工表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事项</w:t>
            </w:r>
          </w:p>
        </w:tc>
        <w:tc>
          <w:tcPr>
            <w:tcW w:type="dxa" w:w="3663"/>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业主单位侧</w:t>
            </w:r>
          </w:p>
        </w:tc>
        <w:tc>
          <w:tcPr>
            <w:tcW w:type="dxa" w:w="3663"/>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0"/>
                <w:szCs w:val="20"/>
              </w:rPr>
              <w:t xml:space="preserve">供应商侧</w:t>
            </w:r>
          </w:p>
        </w:tc>
      </w:tr>
      <w:tr>
        <w:tc>
          <w:tcPr>
            <w:tcW w:type="dxa" w:w="1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统一认证</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提供 CAS/OAuth2 参数、注册服务、属性放行</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协议对接、自动注册配置、联调支持</w:t>
            </w:r>
          </w:p>
        </w:tc>
      </w:tr>
      <w:tr>
        <w:tc>
          <w:tcPr>
            <w:tcW w:type="dxa" w:w="1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企业微信</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创建自建应用、配置回调与权限</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消息通道对接、通讯录同步、机器人配置</w:t>
            </w:r>
          </w:p>
        </w:tc>
      </w:tr>
      <w:tr>
        <w:tc>
          <w:tcPr>
            <w:tcW w:type="dxa" w:w="1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移动端 APP</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WebView 页面接入、身份传参方案确认</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H5 页面与 SDK 提供、样式适配</w:t>
            </w:r>
          </w:p>
        </w:tc>
      </w:tr>
      <w:tr>
        <w:tc>
          <w:tcPr>
            <w:tcW w:type="dxa" w:w="1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推送平台</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提供回调地址与签名密钥、分发配置</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事件推送对接、报文适配</w:t>
            </w:r>
          </w:p>
        </w:tc>
      </w:tr>
      <w:tr>
        <w:tc>
          <w:tcPr>
            <w:tcW w:type="dxa" w:w="1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人员同步</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确认同步范围与频率</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同步接口提供与数据落库</w:t>
            </w:r>
          </w:p>
        </w:tc>
      </w:tr>
      <w:tr>
        <w:tc>
          <w:tcPr>
            <w:tcW w:type="dxa" w:w="1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0"/>
                <w:szCs w:val="20"/>
              </w:rPr>
              <w:t xml:space="preserve">安全合规</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安全策略与等保要求确认</w:t>
            </w:r>
          </w:p>
        </w:tc>
        <w:tc>
          <w:tcPr>
            <w:tcW w:type="dxa" w:w="3663"/>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0"/>
                <w:szCs w:val="20"/>
              </w:rPr>
              <w:t xml:space="preserve">传输加密、签名、审计日志</w:t>
            </w:r>
          </w:p>
        </w:tc>
      </w:tr>
    </w:tbl>
    <w:p>
      <w:pPr>
        <w:pStyle w:val="Heading2"/>
        <w:spacing w:after="100" w:before="200"/>
      </w:pPr>
      <w:r>
        <w:rPr>
          <w:rFonts w:ascii="Times New Roman" w:eastAsia="黑体" w:hAnsi="Times New Roman"/>
          <w:b/>
          <w:bCs/>
          <w:color w:val="000000"/>
          <w:sz w:val="28"/>
          <w:szCs w:val="28"/>
        </w:rPr>
        <w:t xml:space="preserve">8.3 常见问题</w:t>
      </w:r>
    </w:p>
    <w:p>
      <w:pPr>
        <w:pStyle w:val="ListParagraph"/>
        <w:numPr>
          <w:ilvl w:val="0"/>
          <w:numId w:val="2"/>
        </w:numPr>
        <w:spacing w:after="40" w:line="360" w:lineRule="auto"/>
      </w:pPr>
      <w:r>
        <w:rPr>
          <w:rFonts w:ascii="Times New Roman" w:eastAsia="仿宋" w:hAnsi="Times New Roman"/>
          <w:sz w:val="24"/>
          <w:szCs w:val="24"/>
        </w:rPr>
        <w:t xml:space="preserve">登录回跳失败：检查 CAS service 注册是否包含 &lt;平台域名&gt;，可信域名是否完成域名校验；</w:t>
      </w:r>
    </w:p>
    <w:p>
      <w:pPr>
        <w:pStyle w:val="ListParagraph"/>
        <w:numPr>
          <w:ilvl w:val="0"/>
          <w:numId w:val="2"/>
        </w:numPr>
        <w:spacing w:after="40" w:line="360" w:lineRule="auto"/>
      </w:pPr>
      <w:r>
        <w:rPr>
          <w:rFonts w:ascii="Times New Roman" w:eastAsia="仿宋" w:hAnsi="Times New Roman"/>
          <w:sz w:val="24"/>
          <w:szCs w:val="24"/>
        </w:rPr>
        <w:t xml:space="preserve">企微收不到消息：检查回调 URL 验证是否通过、EncodingAESKey 是否一致、应用可见范围是否覆盖目标用户；</w:t>
      </w:r>
    </w:p>
    <w:p>
      <w:pPr>
        <w:pStyle w:val="ListParagraph"/>
        <w:numPr>
          <w:ilvl w:val="0"/>
          <w:numId w:val="2"/>
        </w:numPr>
        <w:spacing w:after="40" w:line="360" w:lineRule="auto"/>
      </w:pPr>
      <w:r>
        <w:rPr>
          <w:rFonts w:ascii="Times New Roman" w:eastAsia="仿宋" w:hAnsi="Times New Roman"/>
          <w:sz w:val="24"/>
          <w:szCs w:val="24"/>
        </w:rPr>
        <w:t xml:space="preserve">H5 页面空白：确认 WebView 已启用 JavaScript，且 APP 内网络可访问 &lt;平台域名&gt;；</w:t>
      </w:r>
    </w:p>
    <w:p>
      <w:pPr>
        <w:pStyle w:val="ListParagraph"/>
        <w:numPr>
          <w:ilvl w:val="0"/>
          <w:numId w:val="2"/>
        </w:numPr>
        <w:spacing w:after="40" w:line="360" w:lineRule="auto"/>
      </w:pPr>
      <w:r>
        <w:rPr>
          <w:rFonts w:ascii="Times New Roman" w:eastAsia="仿宋" w:hAnsi="Times New Roman"/>
          <w:sz w:val="24"/>
          <w:szCs w:val="24"/>
        </w:rPr>
        <w:t xml:space="preserve">推送未送达：核对 Webhook 地址连通性、签名密钥一致性，并按 eventId 排查去重逻辑；</w:t>
      </w:r>
    </w:p>
    <w:p>
      <w:pPr>
        <w:pStyle w:val="ListParagraph"/>
        <w:numPr>
          <w:ilvl w:val="0"/>
          <w:numId w:val="2"/>
        </w:numPr>
        <w:spacing w:after="40" w:line="360" w:lineRule="auto"/>
      </w:pPr>
      <w:r>
        <w:rPr>
          <w:rFonts w:ascii="Times New Roman" w:eastAsia="仿宋" w:hAnsi="Times New Roman"/>
          <w:sz w:val="24"/>
          <w:szCs w:val="24"/>
        </w:rPr>
        <w:t xml:space="preserve">令牌失效（401）：AccessToken 有效期 2 小时，请实现过期自动刷新。</w:t>
      </w:r>
    </w:p>
    <w:p>
      <w:pPr>
        <w:spacing w:after="60" w:line="360" w:lineRule="auto"/>
        <w:ind w:firstLine="480"/>
      </w:pPr>
      <w:r>
        <w:rPr>
          <w:rFonts w:ascii="Times New Roman" w:eastAsia="仿宋" w:hAnsi="Times New Roman"/>
          <w:sz w:val="24"/>
          <w:szCs w:val="24"/>
        </w:rPr>
        <w:t xml:space="preserve"> </w:t>
      </w:r>
    </w:p>
    <w:p>
      <w:pPr>
        <w:spacing w:after="60" w:line="360" w:lineRule="auto"/>
        <w:jc w:val="center"/>
      </w:pPr>
      <w:r>
        <w:rPr>
          <w:rFonts w:ascii="Times New Roman" w:eastAsia="仿宋" w:hAnsi="Times New Roman"/>
          <w:sz w:val="24"/>
          <w:szCs w:val="24"/>
        </w:rPr>
        <w:t xml:space="preserve">（全文完）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仿宋" w:hAnsi="Times New Roman"/>
        <w:color w:val="808080"/>
        <w:sz w:val="18"/>
        <w:szCs w:val="18"/>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center"/>
    </w:pPr>
    <w:r>
      <w:rPr>
        <w:rFonts w:ascii="Times New Roman" w:eastAsia="仿宋" w:hAnsi="Times New Roman"/>
        <w:color w:val="808080"/>
        <w:sz w:val="18"/>
        <w:szCs w:val="18"/>
      </w:rPr>
      <w:t xml:space="preserve">集成标准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2026-08-28T03:16:06.892Z</dcterms:created>
  <dcterms:modified xsi:type="dcterms:W3CDTF">2026-08-28T03:16:06.892Z</dcterms:modified>
</cp:coreProperties>
</file>

<file path=docProps/custom.xml><?xml version="1.0" encoding="utf-8"?>
<Properties xmlns="http://schemas.openxmlformats.org/officeDocument/2006/custom-properties" xmlns:vt="http://schemas.openxmlformats.org/officeDocument/2006/docPropsVTypes"/>
</file>