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jc w:val="center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文档编号：合同编号-文档类型-01</w:t>
      </w:r>
    </w:p>
    <w:p>
      <w:pPr>
        <w:spacing w:after="200"/>
      </w:pP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color w:val="000000"/>
          <w:sz w:val="52"/>
          <w:szCs w:val="52"/>
        </w:rPr>
        <w:t xml:space="preserve">项目名称</w:t>
      </w:r>
    </w:p>
    <w:p>
      <w:pPr>
        <w:spacing w:after="480"/>
        <w:jc w:val="center"/>
      </w:pPr>
      <w:r>
        <w:rPr>
          <w:rFonts w:ascii="Times New Roman" w:eastAsia="黑体" w:hAnsi="Times New Roman"/>
          <w:b/>
          <w:bCs/>
          <w:color w:val="000000"/>
          <w:sz w:val="44"/>
          <w:szCs w:val="44"/>
        </w:rPr>
        <w:t xml:space="preserve">开发环境部署说明</w:t>
      </w:r>
    </w:p>
    <w:p>
      <w:pPr>
        <w:spacing w:after="300"/>
      </w:pPr>
    </w:p>
    <w:p>
      <w:pPr>
        <w:spacing w:after="16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业主单位：</w:t>
      </w:r>
      <w:r>
        <w:rPr>
          <w:rFonts w:ascii="Times New Roman" w:eastAsia="仿宋_GB2312" w:hAnsi="Times New Roman"/>
          <w:color w:val="000000"/>
          <w:sz w:val="28"/>
          <w:szCs w:val="28"/>
        </w:rPr>
        <w:t xml:space="preserve">业主单位名称</w:t>
      </w:r>
    </w:p>
    <w:p>
      <w:pPr>
        <w:spacing w:after="16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承建单位：</w:t>
      </w:r>
      <w:r>
        <w:rPr>
          <w:rFonts w:ascii="Times New Roman" w:eastAsia="仿宋_GB2312" w:hAnsi="Times New Roman"/>
          <w:color w:val="000000"/>
          <w:sz w:val="28"/>
          <w:szCs w:val="28"/>
        </w:rPr>
        <w:t xml:space="preserve">承建单位名称</w:t>
      </w:r>
    </w:p>
    <w:p>
      <w:pPr>
        <w:spacing w:after="16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编制单位：</w:t>
      </w:r>
      <w:r>
        <w:rPr>
          <w:rFonts w:ascii="Times New Roman" w:eastAsia="仿宋_GB2312" w:hAnsi="Times New Roman"/>
          <w:color w:val="000000"/>
          <w:sz w:val="28"/>
          <w:szCs w:val="28"/>
        </w:rPr>
        <w:t xml:space="preserve">承建单位名称</w:t>
      </w:r>
    </w:p>
    <w:p>
      <w:pPr>
        <w:spacing w:after="16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编制时间：</w:t>
      </w:r>
      <w:r>
        <w:rPr>
          <w:rFonts w:ascii="Times New Roman" w:eastAsia="仿宋_GB2312" w:hAnsi="Times New Roman"/>
          <w:color w:val="000000"/>
          <w:sz w:val="28"/>
          <w:szCs w:val="28"/>
        </w:rPr>
        <w:t xml:space="preserve">&lt;年&gt;年&lt;月&gt;月</w:t>
      </w:r>
    </w:p>
    <w:p>
      <w:r>
        <w:br w:type="page"/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版本记录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800"/>
        <w:gridCol w:w="1200"/>
        <w:gridCol w:w="1200"/>
      </w:tblGrid>
      <w:tr>
        <w:trPr>
          <w:tblHeader/>
          <w:trHeight w:val="400" w:hRule="atLeast"/>
        </w:trPr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版本号</w:t>
            </w:r>
          </w:p>
        </w:tc>
        <w:tc>
          <w:tcPr>
            <w:tcW w:type="dxa" w:w="1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修订日期</w:t>
            </w:r>
          </w:p>
        </w:tc>
        <w:tc>
          <w:tcPr>
            <w:tcW w:type="dxa" w:w="3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修订内容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编制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审核</w:t>
            </w:r>
          </w:p>
        </w:tc>
      </w:tr>
      <w:tr>
        <w:trPr>
          <w:trHeight w:val="34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V1.0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2026-09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初始版本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一、引言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（一）编制目的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本文档描述项目名称（系统简称：项目产品名称）开发环境的搭建过程，包括系统环境依赖及开发工具版本配套表、后端与前端开发环境部署、数据库初始化、编译打包及常见问题处理，供甲方开发人员及第三方团队搭建二次开发环境使用。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（二）编制依据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《项目合同》（合同编号：合同编号）；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《服务器高级功能源码版》源代码包（含数据库结构脚本、第三方依赖配置及编译构建指南）；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《系统技术维护手册》（4.1 文档，生产环境部署与运维）。</w:t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二、系统环境依赖及开发工具版本配套表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开发环境所需组件及版本配套关系如下表，版本为经过验证的配套基线，请严格按配套表准备环境：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2-1 系统环境依赖及开发工具版本配套表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3200"/>
      </w:tblGrid>
      <w:tr>
        <w:trPr>
          <w:tblHeader/>
          <w:trHeight w:val="400" w:hRule="atLeast"/>
        </w:trPr>
        <w:tc>
          <w:tcPr>
            <w:tcW w:type="dxa" w:w="1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类别</w:t>
            </w:r>
          </w:p>
        </w:tc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type="dxa" w:w="2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配套版本</w:t>
            </w:r>
          </w:p>
        </w:tc>
        <w:tc>
          <w:tcPr>
            <w:tcW w:type="dxa" w:w="3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用途与说明</w:t>
            </w:r>
          </w:p>
        </w:tc>
      </w:tr>
      <w:tr>
        <w:trPr>
          <w:trHeight w:val="340" w:hRule="atLeast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运行环境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JDK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21（Temurin/Oracle 均可）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后端编译运行（项目采用 Java 21 语法与虚拟线程）</w:t>
            </w:r>
          </w:p>
        </w:tc>
      </w:tr>
      <w:tr>
        <w:trPr>
          <w:trHeight w:val="340" w:hRule="atLeast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构建工具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Maven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3.9.x（仓库自带 mvnw 包装器，无需单独安装）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后端依赖管理与构建，统一使用仓库根目录 ./starter/mvnw</w:t>
            </w:r>
          </w:p>
        </w:tc>
      </w:tr>
      <w:tr>
        <w:trPr>
          <w:trHeight w:val="340" w:hRule="atLeast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前端运行时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Node.js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20 LTS 及以上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前端构建运行时</w:t>
            </w:r>
          </w:p>
        </w:tc>
      </w:tr>
      <w:tr>
        <w:trPr>
          <w:trHeight w:val="340" w:hRule="atLeast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前端包管理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pnpm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9.x 及以上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前端 Monorepo 依赖管理（Turborepo 工作区）</w:t>
            </w:r>
          </w:p>
        </w:tc>
      </w:tr>
      <w:tr>
        <w:trPr>
          <w:trHeight w:val="340" w:hRule="atLeast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8.0 及以上（InnoDB/utf8mb4）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业务数据库；亦可选 PostgreSQL 16.x</w:t>
            </w:r>
          </w:p>
        </w:tc>
      </w:tr>
      <w:tr>
        <w:trPr>
          <w:trHeight w:val="340" w:hRule="atLeast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缓存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Redis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7.x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缓存与消息队列（必需）</w:t>
            </w:r>
          </w:p>
        </w:tc>
      </w:tr>
      <w:tr>
        <w:trPr>
          <w:trHeight w:val="340" w:hRule="atLeast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容器（可选）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Docker / Docker Compose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24+/2.x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一键拉起 MySQL、Redis 等中间件</w:t>
            </w:r>
          </w:p>
        </w:tc>
      </w:tr>
      <w:tr>
        <w:trPr>
          <w:trHeight w:val="340" w:hRule="atLeast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IDE（推荐）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IntelliJ IDEA / VS Code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2024.x 及以上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Lombok、Lombok 插件需安装并启用注解处理</w:t>
            </w:r>
          </w:p>
        </w:tc>
      </w:tr>
      <w:tr>
        <w:trPr>
          <w:trHeight w:val="340" w:hRule="atLeast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接口调试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curl / Postman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REST 接口调试</w:t>
            </w:r>
          </w:p>
        </w:tc>
      </w:tr>
      <w:tr>
        <w:trPr>
          <w:trHeight w:val="340" w:hRule="atLeast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其他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Git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2.30+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源码版本管理</w:t>
            </w:r>
          </w:p>
        </w:tc>
      </w:tr>
    </w:tbl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2-2 后端核心技术栈版本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00"/>
      </w:tblGrid>
      <w:tr>
        <w:trPr>
          <w:tblHeader/>
          <w:trHeight w:val="400" w:hRule="atLeast"/>
        </w:trPr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框架/组件</w:t>
            </w:r>
          </w:p>
        </w:tc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type="dxa" w:w="4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Spring Boot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4.1.1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应用框架（含 Spring Security、Spring Data JPA、WebFlux）</w:t>
            </w:r>
          </w:p>
        </w:tc>
      </w:tr>
      <w:tr>
        <w:trPr>
          <w:trHeight w:val="340" w:hRule="atLeast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Spring AI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2.0.1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大模型接入框架（会话记忆/工具调用）</w:t>
            </w:r>
          </w:p>
        </w:tc>
      </w:tr>
      <w:tr>
        <w:trPr>
          <w:trHeight w:val="340" w:hRule="atLeast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Flowable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8.0.0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工单流程引擎</w:t>
            </w:r>
          </w:p>
        </w:tc>
      </w:tr>
      <w:tr>
        <w:trPr>
          <w:trHeight w:val="340" w:hRule="atLeast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Hibernate / JPA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随 Spring Boot 4.1.x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对象关系映射，自动建表</w:t>
            </w:r>
          </w:p>
        </w:tc>
      </w:tr>
      <w:tr>
        <w:trPr>
          <w:trHeight w:val="340" w:hRule="atLeast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Liquibase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随 Spring Boot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数据库结构变更管理</w:t>
            </w:r>
          </w:p>
        </w:tc>
      </w:tr>
      <w:tr>
        <w:trPr>
          <w:trHeight w:val="340" w:hRule="atLeast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Netty / MQTT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内嵌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WebSocket/MQTT 实时消息</w:t>
            </w:r>
          </w:p>
        </w:tc>
      </w:tr>
      <w:tr>
        <w:trPr>
          <w:trHeight w:val="340" w:hRule="atLeast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Jasypt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3.x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配置项加密</w:t>
            </w:r>
          </w:p>
        </w:tc>
      </w:tr>
    </w:tbl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三、开发环境部署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（一）中间件准备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推荐使用仓库自带 Docker Compose 一键拉起中间件（亦可自行安装）：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cd deploy/docker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./start.sh middleware      # 拉起 MySQL + Redis 等中间件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# 或自行安装：MySQL 8.x（utf8mb4）、Redis 7.x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（二）源码获取与目录结构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源码包解压后即为 Maven 多模块工程，根 pom.xml 为聚合入口；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modules/ 为后端业务模块（core/service/ticket/kbase/ai 等），starter/ 为 Spring Boot 启动模块，frontend/ 为前端 Monorepo；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统一使用仓库自带 Maven 包装器 ./starter/mvnw 构建，无需全局 Maven。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（三）后端编译与启动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# 1. 全量编译安装（首次必做，core 含 protobuf 生成代码）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./starter/mvnw -f pom.xml clean install -DskipTests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/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# 2. 单模块编译（含其依赖）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./starter/mvnw -f pom.xml -pl modules/core -am -DskipTests install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/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# 3. 本地启动（local 为默认 profile）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JASYPT_ENCRYPTOR_PASSWORD='交付资料中的加密口令' ./starter/mvnw -f starter/pom.xml spring-boot:run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JASYPT_ENCRYPTOR_PASSWORD 为配置加密口令，随源码交付资料提供，缺失会导致 ENC(...) 配置项解密失败而无法启动；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默认 HTTP 端口 9003（管理后台/接口）、WebSocket 端口 9885，启动前确认端口未被占用；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首次启动自动执行 Liquibase 初始化数据库结构并写入基础数据（默认组织、超级管理员 admin@email.com、角色权限、功能菜单），生产环境首次登录后须立即修改默认口令。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（四）前端编译与启动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cd frontend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pnpm install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pnpm dev                     # 全部应用开发模式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turbo dev --filter=admin     # 仅管理后台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pnpm build                   # 全量构建（产物在 apps/*/dist/）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前端为 Turborepo + pnpm 工作区，apps/ 下含 admin（管理后台）、desktop（客服工作台）、visitor（访客端）等应用；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本地开发时前端通过代理对接后端 9003 端口，具体代理配置见各应用 vite.config。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（五）数据库初始化与验证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开发库无需手工建表：JPA 首次启动自动建表，Liquibase 自动执行增量变更；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初始化完成后，浏览器访问 http://localhost:9003 验证后端服务，使用默认账号登录管理后台确认基础数据完整；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数据库结构脚本（DDL 导出）随源码交付资料一并提供，供独立环境初始化使用。</w:t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四、编译打包与新版本构建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（一）后端打包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./starter/mvnw -f pom.xml clean install -DskipTests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# 产物：starter/target/bytedesk-starter.jar（Spring Boot 可执行 Jar）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（二）前端打包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cd frontend &amp;&amp; pnpm build</w:t>
      </w:r>
    </w:p>
    <w:p>
      <w:pPr>
        <w:shd w:fill="F5F5F5" w:val="clear"/>
        <w:spacing w:after="0" w:line="280"/>
        <w:ind w:left="480"/>
      </w:pPr>
      <w:r>
        <w:rPr>
          <w:rFonts w:ascii="Consolas" w:eastAsia="宋体" w:hAnsi="Consolas"/>
          <w:sz w:val="19"/>
          <w:szCs w:val="19"/>
        </w:rPr>
        <w:t xml:space="preserve"># 产物：frontend/apps/*/dist/，部署至 Nginx 静态目录或后端 static 目录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（三）版本发布与升降级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新版本打包部署与生产环境升降级操作（含 Docker 镜像发布、升级前置检查、失败回滚至上一版本镜像）按《系统技术维护手册》（4.1 文档）第二、三章执行；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数据库随版本升级的变更由 Liquibase 变更集自动执行，升级前须按手册完成全量备份。</w:t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五、常见问题处理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00"/>
      </w:tblGrid>
      <w:tr>
        <w:trPr>
          <w:tblHeader/>
          <w:trHeight w:val="400" w:hRule="atLeast"/>
        </w:trP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现象</w:t>
            </w:r>
          </w:p>
        </w:tc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原因</w:t>
            </w:r>
          </w:p>
        </w:tc>
        <w:tc>
          <w:tcPr>
            <w:tcW w:type="dxa" w:w="4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处理方式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启动报 protobuf/相关类找不到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core 模块生成代码未编译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先执行 -pl modules/core -am install 再全量编译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启动失败且日志报解密异常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JASYPT_ENCRYPTOR_PASSWORD 未设置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启动命令前携带正确的加密口令环境变量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页面无法访问 9003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端口被占用或防火墙拦截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lsof -i:9003 排查占用，释放端口后重启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连接数据库失败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MySQL 未启动或账号口令不符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检查中间件状态与数据源配置（ENC 项解密后核对）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前端依赖安装缓慢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默认源网络受限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配置国内镜像源后重试 pnpm install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附录：配套文档索引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《项目总体实施方案》（1.1 文档）：生产环境部署方案；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《系统技术维护手册》（4.1 文档）：生产部署、日志查看、回滚与备份恢复；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《数据库设计说明书》（2.4 文档）、《数据字典》（2.5 文档）：数据层设计；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《集成标准》（1.3 文档）：接口开发规范与 API 说明。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000000"/>
        <w:sz w:val="18"/>
        <w:szCs w:val="18"/>
      </w:rPr>
      <w:t xml:space="preserve">第 </w:t>
    </w:r>
    <w:r>
      <w:rPr>
        <w:rFonts w:ascii="Times New Roman" w:eastAsia="宋体" w:hAnsi="Times New Roman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000000"/>
        <w:sz w:val="18"/>
        <w:szCs w:val="18"/>
      </w:rPr>
      <w:t xml:space="preserve"> 页 / 共 </w:t>
    </w:r>
    <w:r>
      <w:rPr>
        <w:rFonts w:ascii="Times New Roman" w:eastAsia="宋体" w:hAnsi="Times New Roman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eastAsia="宋体" w:hAnsi="Times New Roman"/>
        <w:color w:val="00000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CC3E5" w:sz="6"/>
      </w:pBdr>
      <w:jc w:val="center"/>
    </w:pPr>
    <w:r>
      <w:rPr>
        <w:rFonts w:ascii="Times New Roman" w:eastAsia="宋体" w:hAnsi="Times New Roman"/>
        <w:color w:val="000000"/>
        <w:sz w:val="18"/>
        <w:szCs w:val="18"/>
      </w:rPr>
      <w:t xml:space="preserve">项目名称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_GB2312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2026-09-16T03:17:07.126Z</dcterms:created>
  <dcterms:modified xsi:type="dcterms:W3CDTF">2026-09-16T03:17:07.126Z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