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rPr>
          <w:rFonts w:ascii="Times New Roman" w:eastAsia="仿宋_GB2312" w:hAnsi="Times New Roman"/>
          <w:color w:val="000000"/>
          <w:sz w:val="24"/>
          <w:szCs w:val="24"/>
        </w:rPr>
        <w:t xml:space="preserve">文档编号：合同编号-文档类型-01</w:t>
      </w:r>
    </w:p>
    <w:p>
      <w:pPr>
        <w:spacing w:after="200"/>
      </w:pPr>
    </w:p>
    <w:p>
      <w:pPr>
        <w:spacing w:after="240"/>
        <w:jc w:val="center"/>
      </w:pPr>
      <w:r>
        <w:rPr>
          <w:rFonts w:ascii="Times New Roman" w:eastAsia="黑体" w:hAnsi="Times New Roman"/>
          <w:b/>
          <w:bCs/>
          <w:color w:val="000000"/>
          <w:sz w:val="52"/>
          <w:szCs w:val="52"/>
        </w:rPr>
        <w:t xml:space="preserve">项目名称</w:t>
      </w:r>
    </w:p>
    <w:p>
      <w:pPr>
        <w:spacing w:after="480"/>
        <w:jc w:val="center"/>
      </w:pPr>
      <w:r>
        <w:rPr>
          <w:rFonts w:ascii="Times New Roman" w:eastAsia="黑体" w:hAnsi="Times New Roman"/>
          <w:b/>
          <w:bCs/>
          <w:color w:val="000000"/>
          <w:sz w:val="44"/>
          <w:szCs w:val="44"/>
        </w:rPr>
        <w:t xml:space="preserve">安全测试报告</w:t>
      </w:r>
    </w:p>
    <w:p>
      <w:pPr>
        <w:spacing w:after="300"/>
      </w:pPr>
    </w:p>
    <w:p>
      <w:pPr>
        <w:spacing w:after="160"/>
        <w:jc w:val="center"/>
      </w:pPr>
      <w:r>
        <w:rPr>
          <w:rFonts w:ascii="Times New Roman" w:eastAsia="黑体" w:hAnsi="Times New Roman"/>
          <w:color w:val="000000"/>
          <w:sz w:val="28"/>
          <w:szCs w:val="28"/>
        </w:rPr>
        <w:t xml:space="preserve">业主单位：</w:t>
      </w:r>
      <w:r>
        <w:rPr>
          <w:rFonts w:ascii="Times New Roman" w:eastAsia="仿宋_GB2312" w:hAnsi="Times New Roman"/>
          <w:color w:val="000000"/>
          <w:sz w:val="28"/>
          <w:szCs w:val="28"/>
        </w:rPr>
        <w:t xml:space="preserve">业主单位名称</w:t>
      </w:r>
    </w:p>
    <w:p>
      <w:pPr>
        <w:spacing w:after="160"/>
        <w:jc w:val="center"/>
      </w:pPr>
      <w:r>
        <w:rPr>
          <w:rFonts w:ascii="Times New Roman" w:eastAsia="黑体" w:hAnsi="Times New Roman"/>
          <w:color w:val="000000"/>
          <w:sz w:val="28"/>
          <w:szCs w:val="28"/>
        </w:rPr>
        <w:t xml:space="preserve">承建单位：</w:t>
      </w:r>
      <w:r>
        <w:rPr>
          <w:rFonts w:ascii="Times New Roman" w:eastAsia="仿宋_GB2312" w:hAnsi="Times New Roman"/>
          <w:color w:val="000000"/>
          <w:sz w:val="28"/>
          <w:szCs w:val="28"/>
        </w:rPr>
        <w:t xml:space="preserve">承建单位名称</w:t>
      </w:r>
    </w:p>
    <w:p>
      <w:pPr>
        <w:spacing w:after="160"/>
        <w:jc w:val="center"/>
      </w:pPr>
      <w:r>
        <w:rPr>
          <w:rFonts w:ascii="Times New Roman" w:eastAsia="黑体" w:hAnsi="Times New Roman"/>
          <w:color w:val="000000"/>
          <w:sz w:val="28"/>
          <w:szCs w:val="28"/>
        </w:rPr>
        <w:t xml:space="preserve">编制单位：</w:t>
      </w:r>
      <w:r>
        <w:rPr>
          <w:rFonts w:ascii="Times New Roman" w:eastAsia="仿宋_GB2312" w:hAnsi="Times New Roman"/>
          <w:color w:val="000000"/>
          <w:sz w:val="28"/>
          <w:szCs w:val="28"/>
        </w:rPr>
        <w:t xml:space="preserve">承建单位名称</w:t>
      </w:r>
    </w:p>
    <w:p>
      <w:pPr>
        <w:spacing w:after="160"/>
        <w:jc w:val="center"/>
      </w:pPr>
      <w:r>
        <w:rPr>
          <w:rFonts w:ascii="Times New Roman" w:eastAsia="黑体" w:hAnsi="Times New Roman"/>
          <w:color w:val="000000"/>
          <w:sz w:val="28"/>
          <w:szCs w:val="28"/>
        </w:rPr>
        <w:t xml:space="preserve">编制时间：</w:t>
      </w:r>
      <w:r>
        <w:rPr>
          <w:rFonts w:ascii="Times New Roman" w:eastAsia="仿宋_GB2312" w:hAnsi="Times New Roman"/>
          <w:color w:val="000000"/>
          <w:sz w:val="28"/>
          <w:szCs w:val="28"/>
        </w:rPr>
        <w:t xml:space="preserve">&lt;年&gt;年&lt;月&gt;月</w:t>
      </w:r>
    </w:p>
    <w:p>
      <w:r>
        <w:br w:type="page"/>
      </w:r>
    </w:p>
    <w:p>
      <w:pPr>
        <w:pStyle w:val="Heading1"/>
        <w:spacing w:after="180" w:before="360" w:line="360"/>
      </w:pPr>
      <w:r>
        <w:rPr>
          <w:rFonts w:ascii="Times New Roman" w:eastAsia="黑体" w:hAnsi="Times New Roman"/>
          <w:b/>
          <w:bCs/>
          <w:color w:val="000000"/>
          <w:sz w:val="32"/>
          <w:szCs w:val="32"/>
        </w:rPr>
        <w:t xml:space="preserve">版本记录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800"/>
        <w:gridCol w:w="1200"/>
        <w:gridCol w:w="1200"/>
      </w:tblGrid>
      <w:tr>
        <w:trPr>
          <w:tblHeader/>
          <w:trHeight w:val="400" w:hRule="atLeast"/>
        </w:trPr>
        <w:tc>
          <w:tcPr>
            <w:tcW w:type="dxa" w:w="16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版本号</w:t>
            </w:r>
          </w:p>
        </w:tc>
        <w:tc>
          <w:tcPr>
            <w:tcW w:type="dxa" w:w="1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修订日期</w:t>
            </w:r>
          </w:p>
        </w:tc>
        <w:tc>
          <w:tcPr>
            <w:tcW w:type="dxa" w:w="3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修订内容</w:t>
            </w:r>
          </w:p>
        </w:tc>
        <w:tc>
          <w:tcPr>
            <w:tcW w:type="dxa" w:w="1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编制</w:t>
            </w:r>
          </w:p>
        </w:tc>
        <w:tc>
          <w:tcPr>
            <w:tcW w:type="dxa" w:w="1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审核</w:t>
            </w:r>
          </w:p>
        </w:tc>
      </w:tr>
      <w:tr>
        <w:trPr>
          <w:trHeight w:val="340" w:hRule="atLeast"/>
        </w:trPr>
        <w:tc>
          <w:tcPr>
            <w:tcW w:type="dxa" w:w="16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V1.0</w:t>
            </w:r>
          </w:p>
        </w:tc>
        <w:tc>
          <w:tcPr>
            <w:tcW w:type="dxa" w:w="1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2026-09</w:t>
            </w:r>
          </w:p>
        </w:tc>
        <w:tc>
          <w:tcPr>
            <w:tcW w:type="dxa" w:w="3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初始版本</w:t>
            </w:r>
          </w:p>
        </w:tc>
        <w:tc>
          <w:tcPr>
            <w:tcW w:type="dxa" w:w="1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
            </w:r>
          </w:p>
        </w:tc>
        <w:tc>
          <w:tcPr>
            <w:tcW w:type="dxa" w:w="1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
            </w:r>
          </w:p>
        </w:tc>
      </w:tr>
    </w:tbl>
    <w:p>
      <w:r>
        <w:br w:type="page"/>
      </w:r>
    </w:p>
    <w:p>
      <w:pPr>
        <w:spacing w:after="200"/>
        <w:jc w:val="center"/>
      </w:pPr>
      <w:r>
        <w:rPr>
          <w:rFonts w:ascii="Times New Roman" w:eastAsia="黑体" w:hAnsi="Times New Roman"/>
          <w:b/>
          <w:bCs/>
          <w:color w:val="000000"/>
          <w:sz w:val="36"/>
          <w:szCs w:val="36"/>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line="360"/>
      </w:pPr>
      <w:r>
        <w:rPr>
          <w:rFonts w:ascii="Times New Roman" w:eastAsia="黑体" w:hAnsi="Times New Roman"/>
          <w:b/>
          <w:bCs/>
          <w:color w:val="000000"/>
          <w:sz w:val="32"/>
          <w:szCs w:val="32"/>
        </w:rPr>
        <w:t xml:space="preserve">一、概述</w:t>
      </w:r>
    </w:p>
    <w:p>
      <w:pPr>
        <w:pStyle w:val="Heading2"/>
        <w:spacing w:after="140" w:before="280" w:line="340"/>
      </w:pPr>
      <w:r>
        <w:rPr>
          <w:rFonts w:ascii="Times New Roman" w:eastAsia="黑体" w:hAnsi="Times New Roman"/>
          <w:b/>
          <w:bCs/>
          <w:color w:val="000000"/>
          <w:sz w:val="28"/>
          <w:szCs w:val="28"/>
        </w:rPr>
        <w:t xml:space="preserve">（一）测试目的</w:t>
      </w:r>
    </w:p>
    <w:p>
      <w:pPr>
        <w:spacing w:after="100" w:line="360" w:lineRule="auto"/>
        <w:ind w:firstLine="480" w:firstLineChars="200"/>
        <w:jc w:val="both"/>
      </w:pPr>
      <w:r>
        <w:rPr>
          <w:rFonts w:ascii="Times New Roman" w:eastAsia="仿宋_GB2312" w:hAnsi="Times New Roman"/>
          <w:color w:val="000000"/>
          <w:sz w:val="24"/>
          <w:szCs w:val="24"/>
        </w:rPr>
        <w:t xml:space="preserve">对项目名称（系统简称：项目产品名称，版本 版本号）进行安全测试，验证系统不存在高危漏洞、敏感数据传输与存储符合安全规范，满足合同第四条 5.4 终验标准中的安全要求，为项目验收提供安全测试依据。</w:t>
      </w:r>
    </w:p>
    <w:p>
      <w:pPr>
        <w:pStyle w:val="Heading2"/>
        <w:spacing w:after="140" w:before="280" w:line="340"/>
      </w:pPr>
      <w:r>
        <w:rPr>
          <w:rFonts w:ascii="Times New Roman" w:eastAsia="黑体" w:hAnsi="Times New Roman"/>
          <w:b/>
          <w:bCs/>
          <w:color w:val="000000"/>
          <w:sz w:val="28"/>
          <w:szCs w:val="28"/>
        </w:rPr>
        <w:t xml:space="preserve">（二）测试依据</w:t>
      </w:r>
    </w:p>
    <w:p>
      <w:pPr>
        <w:pStyle w:val="ListParagraph"/>
        <w:numPr>
          <w:ilvl w:val="0"/>
          <w:numId w:val="2"/>
        </w:numPr>
        <w:spacing w:after="60" w:line="340"/>
      </w:pPr>
      <w:r>
        <w:rPr>
          <w:rFonts w:ascii="Times New Roman" w:eastAsia="仿宋_GB2312" w:hAnsi="Times New Roman"/>
          <w:color w:val="000000"/>
          <w:sz w:val="24"/>
          <w:szCs w:val="24"/>
        </w:rPr>
        <w:t xml:space="preserve">《项目合同》（合同编号：合同编号）第四条 5.4 终验标准（安全要求：系统须通过安全扫描测试，不存在高危漏洞，敏感数据传输与存储符合安全规范）；</w:t>
      </w:r>
    </w:p>
    <w:p>
      <w:pPr>
        <w:pStyle w:val="ListParagraph"/>
        <w:numPr>
          <w:ilvl w:val="0"/>
          <w:numId w:val="2"/>
        </w:numPr>
        <w:spacing w:after="60" w:line="340"/>
      </w:pPr>
      <w:r>
        <w:rPr>
          <w:rFonts w:ascii="Times New Roman" w:eastAsia="仿宋_GB2312" w:hAnsi="Times New Roman"/>
          <w:color w:val="000000"/>
          <w:sz w:val="24"/>
          <w:szCs w:val="24"/>
        </w:rPr>
        <w:t xml:space="preserve">OWASP Top 10（2021）Web 应用安全风险清单；</w:t>
      </w:r>
    </w:p>
    <w:p>
      <w:pPr>
        <w:pStyle w:val="ListParagraph"/>
        <w:numPr>
          <w:ilvl w:val="0"/>
          <w:numId w:val="2"/>
        </w:numPr>
        <w:spacing w:after="60" w:line="340"/>
      </w:pPr>
      <w:r>
        <w:rPr>
          <w:rFonts w:ascii="Times New Roman" w:eastAsia="仿宋_GB2312" w:hAnsi="Times New Roman"/>
          <w:color w:val="000000"/>
          <w:sz w:val="24"/>
          <w:szCs w:val="24"/>
        </w:rPr>
        <w:t xml:space="preserve">GB/T 22239-2019《信息安全技术 网络安全等级保护基本要求》相关条款。</w:t>
      </w:r>
    </w:p>
    <w:p>
      <w:pPr>
        <w:pStyle w:val="Heading2"/>
        <w:spacing w:after="140" w:before="280" w:line="340"/>
      </w:pPr>
      <w:r>
        <w:rPr>
          <w:rFonts w:ascii="Times New Roman" w:eastAsia="黑体" w:hAnsi="Times New Roman"/>
          <w:b/>
          <w:bCs/>
          <w:color w:val="000000"/>
          <w:sz w:val="28"/>
          <w:szCs w:val="28"/>
        </w:rPr>
        <w:t xml:space="preserve">（三）测试范围</w:t>
      </w:r>
    </w:p>
    <w:p>
      <w:pPr>
        <w:pStyle w:val="ListParagraph"/>
        <w:numPr>
          <w:ilvl w:val="0"/>
          <w:numId w:val="2"/>
        </w:numPr>
        <w:spacing w:after="60" w:line="340"/>
      </w:pPr>
      <w:r>
        <w:rPr>
          <w:rFonts w:ascii="Times New Roman" w:eastAsia="仿宋_GB2312" w:hAnsi="Times New Roman"/>
          <w:color w:val="000000"/>
          <w:sz w:val="24"/>
          <w:szCs w:val="24"/>
        </w:rPr>
        <w:t xml:space="preserve">管理后台、客服工作台、访客端三端 Web 应用；</w:t>
      </w:r>
    </w:p>
    <w:p>
      <w:pPr>
        <w:pStyle w:val="ListParagraph"/>
        <w:numPr>
          <w:ilvl w:val="0"/>
          <w:numId w:val="2"/>
        </w:numPr>
        <w:spacing w:after="60" w:line="340"/>
      </w:pPr>
      <w:r>
        <w:rPr>
          <w:rFonts w:ascii="Times New Roman" w:eastAsia="仿宋_GB2312" w:hAnsi="Times New Roman"/>
          <w:color w:val="000000"/>
          <w:sz w:val="24"/>
          <w:szCs w:val="24"/>
        </w:rPr>
        <w:t xml:space="preserve">后端 REST API 与 WebSocket 接口；</w:t>
      </w:r>
    </w:p>
    <w:p>
      <w:pPr>
        <w:pStyle w:val="ListParagraph"/>
        <w:numPr>
          <w:ilvl w:val="0"/>
          <w:numId w:val="2"/>
        </w:numPr>
        <w:spacing w:after="60" w:line="340"/>
      </w:pPr>
      <w:r>
        <w:rPr>
          <w:rFonts w:ascii="Times New Roman" w:eastAsia="仿宋_GB2312" w:hAnsi="Times New Roman"/>
          <w:color w:val="000000"/>
          <w:sz w:val="24"/>
          <w:szCs w:val="24"/>
        </w:rPr>
        <w:t xml:space="preserve">数据库与中间件配置；</w:t>
      </w:r>
    </w:p>
    <w:p>
      <w:pPr>
        <w:pStyle w:val="ListParagraph"/>
        <w:numPr>
          <w:ilvl w:val="0"/>
          <w:numId w:val="2"/>
        </w:numPr>
        <w:spacing w:after="60" w:line="340"/>
      </w:pPr>
      <w:r>
        <w:rPr>
          <w:rFonts w:ascii="Times New Roman" w:eastAsia="仿宋_GB2312" w:hAnsi="Times New Roman"/>
          <w:color w:val="000000"/>
          <w:sz w:val="24"/>
          <w:szCs w:val="24"/>
        </w:rPr>
        <w:t xml:space="preserve">第三方依赖组件漏洞。</w:t>
      </w:r>
    </w:p>
    <w:p>
      <w:pPr>
        <w:pStyle w:val="Heading1"/>
        <w:spacing w:after="180" w:before="360" w:line="360"/>
      </w:pPr>
      <w:r>
        <w:rPr>
          <w:rFonts w:ascii="Times New Roman" w:eastAsia="黑体" w:hAnsi="Times New Roman"/>
          <w:b/>
          <w:bCs/>
          <w:color w:val="000000"/>
          <w:sz w:val="32"/>
          <w:szCs w:val="32"/>
        </w:rPr>
        <w:t xml:space="preserve">二、测试环境与工具</w:t>
      </w:r>
    </w:p>
    <w:p>
      <w:pPr>
        <w:spacing w:after="80" w:before="160"/>
        <w:jc w:val="center"/>
      </w:pPr>
      <w:r>
        <w:rPr>
          <w:rFonts w:ascii="Times New Roman" w:eastAsia="黑体" w:hAnsi="Times New Roman"/>
          <w:color w:val="000000"/>
          <w:sz w:val="21"/>
          <w:szCs w:val="21"/>
        </w:rPr>
        <w:t xml:space="preserve">表 2-1 安全测试工具</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800"/>
      </w:tblGrid>
      <w:tr>
        <w:trPr>
          <w:tblHeader/>
          <w:trHeight w:val="400" w:hRule="atLeast"/>
        </w:trPr>
        <w:tc>
          <w:tcPr>
            <w:tcW w:type="dxa" w:w="2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工具</w:t>
            </w:r>
          </w:p>
        </w:tc>
        <w:tc>
          <w:tcPr>
            <w:tcW w:type="dxa" w:w="20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版本/类型</w:t>
            </w:r>
          </w:p>
        </w:tc>
        <w:tc>
          <w:tcPr>
            <w:tcW w:type="dxa" w:w="4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用途</w:t>
            </w:r>
          </w:p>
        </w:tc>
      </w:tr>
      <w:tr>
        <w:trPr>
          <w:trHeight w:val="340" w:hRule="atLeast"/>
        </w:trPr>
        <w:tc>
          <w:tcPr>
            <w:tcW w:type="dxa" w:w="2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OWASP ZAP</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2.14</w:t>
            </w:r>
          </w:p>
        </w:tc>
        <w:tc>
          <w:tcPr>
            <w:tcW w:type="dxa" w:w="4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Web 应用动态漏洞扫描（DAST）</w:t>
            </w:r>
          </w:p>
        </w:tc>
      </w:tr>
      <w:tr>
        <w:trPr>
          <w:trHeight w:val="340" w:hRule="atLeast"/>
        </w:trPr>
        <w:tc>
          <w:tcPr>
            <w:tcW w:type="dxa" w:w="2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Burp Suite</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Community</w:t>
            </w:r>
          </w:p>
        </w:tc>
        <w:tc>
          <w:tcPr>
            <w:tcW w:type="dxa" w:w="4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手工渗透验证（越权/注入重点用例）</w:t>
            </w:r>
          </w:p>
        </w:tc>
      </w:tr>
      <w:tr>
        <w:trPr>
          <w:trHeight w:val="340" w:hRule="atLeast"/>
        </w:trPr>
        <w:tc>
          <w:tcPr>
            <w:tcW w:type="dxa" w:w="2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Nmap</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7.9+</w:t>
            </w:r>
          </w:p>
        </w:tc>
        <w:tc>
          <w:tcPr>
            <w:tcW w:type="dxa" w:w="4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端口与服务暴露面扫描</w:t>
            </w:r>
          </w:p>
        </w:tc>
      </w:tr>
      <w:tr>
        <w:trPr>
          <w:trHeight w:val="340" w:hRule="atLeast"/>
        </w:trPr>
        <w:tc>
          <w:tcPr>
            <w:tcW w:type="dxa" w:w="2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OWASP Dependency-Check</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10.x</w:t>
            </w:r>
          </w:p>
        </w:tc>
        <w:tc>
          <w:tcPr>
            <w:tcW w:type="dxa" w:w="4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第三方依赖组件漏洞（SCA）</w:t>
            </w:r>
          </w:p>
        </w:tc>
      </w:tr>
      <w:tr>
        <w:trPr>
          <w:trHeight w:val="340" w:hRule="atLeast"/>
        </w:trPr>
        <w:tc>
          <w:tcPr>
            <w:tcW w:type="dxa" w:w="2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数据库审计脚本</w:t>
            </w:r>
          </w:p>
        </w:tc>
        <w:tc>
          <w:tcPr>
            <w:tcW w:type="dxa" w:w="20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w:t>
            </w:r>
          </w:p>
        </w:tc>
        <w:tc>
          <w:tcPr>
            <w:tcW w:type="dxa" w:w="48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账号权限与敏感字段加密核查</w:t>
            </w:r>
          </w:p>
        </w:tc>
      </w:tr>
    </w:tbl>
    <w:p>
      <w:pPr>
        <w:spacing w:after="100" w:line="360" w:lineRule="auto"/>
        <w:ind w:firstLine="480" w:firstLineChars="200"/>
        <w:jc w:val="both"/>
      </w:pPr>
      <w:r>
        <w:rPr>
          <w:rFonts w:ascii="Times New Roman" w:eastAsia="仿宋_GB2312" w:hAnsi="Times New Roman"/>
          <w:color w:val="000000"/>
          <w:sz w:val="24"/>
          <w:szCs w:val="24"/>
        </w:rPr>
        <w:t xml:space="preserve">测试在生产同构环境进行，测试账号覆盖超级管理员、组织管理员、普通客服、访客四类角色，用于验证权限边界。</w:t>
      </w:r>
    </w:p>
    <w:p>
      <w:pPr>
        <w:pStyle w:val="Heading1"/>
        <w:spacing w:after="180" w:before="360" w:line="360"/>
      </w:pPr>
      <w:r>
        <w:rPr>
          <w:rFonts w:ascii="Times New Roman" w:eastAsia="黑体" w:hAnsi="Times New Roman"/>
          <w:b/>
          <w:bCs/>
          <w:color w:val="000000"/>
          <w:sz w:val="32"/>
          <w:szCs w:val="32"/>
        </w:rPr>
        <w:t xml:space="preserve">三、测试内容与方法</w:t>
      </w:r>
    </w:p>
    <w:p>
      <w:pPr>
        <w:spacing w:after="80" w:before="160"/>
        <w:jc w:val="center"/>
      </w:pPr>
      <w:r>
        <w:rPr>
          <w:rFonts w:ascii="Times New Roman" w:eastAsia="黑体" w:hAnsi="Times New Roman"/>
          <w:color w:val="000000"/>
          <w:sz w:val="21"/>
          <w:szCs w:val="21"/>
        </w:rPr>
        <w:t xml:space="preserve">表 3-1 安全测试项</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200"/>
        <w:gridCol w:w="2200"/>
      </w:tblGrid>
      <w:tr>
        <w:trPr>
          <w:tblHeader/>
          <w:trHeight w:val="400" w:hRule="atLeast"/>
        </w:trPr>
        <w:tc>
          <w:tcPr>
            <w:tcW w:type="dxa" w:w="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编号</w:t>
            </w:r>
          </w:p>
        </w:tc>
        <w:tc>
          <w:tcPr>
            <w:tcW w:type="dxa" w:w="24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测试项</w:t>
            </w:r>
          </w:p>
        </w:tc>
        <w:tc>
          <w:tcPr>
            <w:tcW w:type="dxa" w:w="4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方法</w:t>
            </w:r>
          </w:p>
        </w:tc>
        <w:tc>
          <w:tcPr>
            <w:tcW w:type="dxa" w:w="2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对应风险</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A1</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身份认证</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弱口令检测、会话固定/超时、登录爆破防护</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OWASP A07</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A2</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授权与访问控制</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四类角色横向/纵向越权用例（接口级）</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OWASP A01</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A3</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SQL 注入</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全部输入型接口参数化注入探测</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OWASP A03</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A4</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XSS 跨站脚本</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存储型/反射型用例（消息、工单、知识库字段）</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OWASP A03</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A5</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CSRF</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跨站请求伪造用例</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OWASP A01</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A6</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敏感信息</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口令/密钥存储、日志脱敏、响应泄露检查</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合同安全要求</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A7</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传输安全</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HTTPS/WSS 强制、证书与加密套件核查</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合同安全要求</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A8</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组件漏洞</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依赖组件 CVE 扫描（SCA）</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OWASP A06</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A9</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服务暴露面</w:t>
            </w:r>
          </w:p>
        </w:tc>
        <w:tc>
          <w:tcPr>
            <w:tcW w:type="dxa" w:w="4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端口扫描、管理端点暴露检查</w:t>
            </w:r>
          </w:p>
        </w:tc>
        <w:tc>
          <w:tcPr>
            <w:tcW w:type="dxa" w:w="2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配置安全</w:t>
            </w:r>
          </w:p>
        </w:tc>
      </w:tr>
    </w:tbl>
    <w:p>
      <w:pPr>
        <w:pStyle w:val="Heading1"/>
        <w:spacing w:after="180" w:before="360" w:line="360"/>
      </w:pPr>
      <w:r>
        <w:rPr>
          <w:rFonts w:ascii="Times New Roman" w:eastAsia="黑体" w:hAnsi="Times New Roman"/>
          <w:b/>
          <w:bCs/>
          <w:color w:val="000000"/>
          <w:sz w:val="32"/>
          <w:szCs w:val="32"/>
        </w:rPr>
        <w:t xml:space="preserve">四、测试结果</w:t>
      </w:r>
    </w:p>
    <w:p>
      <w:pPr>
        <w:pStyle w:val="Heading2"/>
        <w:spacing w:after="140" w:before="280" w:line="340"/>
      </w:pPr>
      <w:r>
        <w:rPr>
          <w:rFonts w:ascii="Times New Roman" w:eastAsia="黑体" w:hAnsi="Times New Roman"/>
          <w:b/>
          <w:bCs/>
          <w:color w:val="000000"/>
          <w:sz w:val="28"/>
          <w:szCs w:val="28"/>
        </w:rPr>
        <w:t xml:space="preserve">（一）测试项结果汇总</w:t>
      </w:r>
    </w:p>
    <w:p>
      <w:pPr>
        <w:spacing w:after="80" w:before="160"/>
        <w:jc w:val="center"/>
      </w:pPr>
      <w:r>
        <w:rPr>
          <w:rFonts w:ascii="Times New Roman" w:eastAsia="黑体" w:hAnsi="Times New Roman"/>
          <w:color w:val="000000"/>
          <w:sz w:val="21"/>
          <w:szCs w:val="21"/>
        </w:rPr>
        <w:t xml:space="preserve">表 4-1 安全测试结果汇总</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200"/>
        <w:gridCol w:w="1400"/>
        <w:gridCol w:w="1800"/>
      </w:tblGrid>
      <w:tr>
        <w:trPr>
          <w:tblHeader/>
          <w:trHeight w:val="400" w:hRule="atLeast"/>
        </w:trPr>
        <w:tc>
          <w:tcPr>
            <w:tcW w:type="dxa" w:w="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编号</w:t>
            </w:r>
          </w:p>
        </w:tc>
        <w:tc>
          <w:tcPr>
            <w:tcW w:type="dxa" w:w="24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测试项</w:t>
            </w:r>
          </w:p>
        </w:tc>
        <w:tc>
          <w:tcPr>
            <w:tcW w:type="dxa" w:w="32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发现问题</w:t>
            </w:r>
          </w:p>
        </w:tc>
        <w:tc>
          <w:tcPr>
            <w:tcW w:type="dxa" w:w="14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风险等级</w:t>
            </w:r>
          </w:p>
        </w:tc>
        <w:tc>
          <w:tcPr>
            <w:tcW w:type="dxa" w:w="1800"/>
            <w:shd w:fill="DEEAF6" w:color="auto" w:val="clear"/>
            <w:tcMar>
              <w:top w:type="dxa" w:w="60"/>
              <w:left w:type="dxa" w:w="100"/>
              <w:bottom w:type="dxa" w:w="60"/>
              <w:right w:type="dxa" w:w="100"/>
            </w:tcMar>
            <w:vAlign w:val="center"/>
          </w:tcPr>
          <w:p>
            <w:pPr>
              <w:spacing w:after="0"/>
              <w:jc w:val="center"/>
            </w:pPr>
            <w:r>
              <w:rPr>
                <w:rFonts w:ascii="Times New Roman" w:eastAsia="宋体" w:hAnsi="Times New Roman"/>
                <w:b/>
                <w:bCs/>
                <w:color w:val="000000"/>
                <w:sz w:val="21"/>
                <w:szCs w:val="21"/>
              </w:rPr>
              <w:t xml:space="preserve">处理状态</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A1</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身份认证</w:t>
            </w:r>
          </w:p>
        </w:tc>
        <w:tc>
          <w:tcPr>
            <w:tcW w:type="dxa" w:w="3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0 高危 / 1 低危（默认账号初始口令）</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低</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已整改</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A2</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授权与访问控制</w:t>
            </w:r>
          </w:p>
        </w:tc>
        <w:tc>
          <w:tcPr>
            <w:tcW w:type="dxa" w:w="3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0（越权用例全部拦截）</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通过</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A3</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SQL 注入</w:t>
            </w:r>
          </w:p>
        </w:tc>
        <w:tc>
          <w:tcPr>
            <w:tcW w:type="dxa" w:w="3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0（全部走 JPA 预编译）</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通过</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A4</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XSS</w:t>
            </w:r>
          </w:p>
        </w:tc>
        <w:tc>
          <w:tcPr>
            <w:tcW w:type="dxa" w:w="3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0 高危 / 1 中危（消息内容富文本注入）</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中</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已整改并复测通过</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A5</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CSRF</w:t>
            </w:r>
          </w:p>
        </w:tc>
        <w:tc>
          <w:tcPr>
            <w:tcW w:type="dxa" w:w="3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0（Token 校验生效）</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通过</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A6</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敏感信息</w:t>
            </w:r>
          </w:p>
        </w:tc>
        <w:tc>
          <w:tcPr>
            <w:tcW w:type="dxa" w:w="3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0（口令 BCrypt、密钥 Jasypt 加密）</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通过</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A7</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传输安全</w:t>
            </w:r>
          </w:p>
        </w:tc>
        <w:tc>
          <w:tcPr>
            <w:tcW w:type="dxa" w:w="3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0（强制 HTTPS/WSS）</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通过</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A8</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组件漏洞</w:t>
            </w:r>
          </w:p>
        </w:tc>
        <w:tc>
          <w:tcPr>
            <w:tcW w:type="dxa" w:w="3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0 高危 / 2 中危（依赖库 CVE）</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中</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已升级修复并复测通过</w:t>
            </w:r>
          </w:p>
        </w:tc>
      </w:tr>
      <w:tr>
        <w:trPr>
          <w:trHeight w:val="340" w:hRule="atLeast"/>
        </w:trPr>
        <w:tc>
          <w:tcPr>
            <w:tcW w:type="dxa" w:w="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A9</w:t>
            </w:r>
          </w:p>
        </w:tc>
        <w:tc>
          <w:tcPr>
            <w:tcW w:type="dxa" w:w="24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服务暴露面</w:t>
            </w:r>
          </w:p>
        </w:tc>
        <w:tc>
          <w:tcPr>
            <w:tcW w:type="dxa" w:w="3200"/>
            <w:tcMar>
              <w:top w:type="dxa" w:w="60"/>
              <w:left w:type="dxa" w:w="100"/>
              <w:bottom w:type="dxa" w:w="60"/>
              <w:right w:type="dxa" w:w="100"/>
            </w:tcMar>
            <w:vAlign w:val="center"/>
          </w:tcPr>
          <w:p>
            <w:pPr>
              <w:spacing w:after="0"/>
              <w:jc w:val="left"/>
            </w:pPr>
            <w:r>
              <w:rPr>
                <w:rFonts w:ascii="Times New Roman" w:eastAsia="宋体" w:hAnsi="Times New Roman"/>
                <w:color w:val="000000"/>
                <w:sz w:val="21"/>
                <w:szCs w:val="21"/>
              </w:rPr>
              <w:t xml:space="preserve">0（中间件仅内网监听）</w:t>
            </w:r>
          </w:p>
        </w:tc>
        <w:tc>
          <w:tcPr>
            <w:tcW w:type="dxa" w:w="14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w:t>
            </w:r>
          </w:p>
        </w:tc>
        <w:tc>
          <w:tcPr>
            <w:tcW w:type="dxa" w:w="1800"/>
            <w:tcMar>
              <w:top w:type="dxa" w:w="60"/>
              <w:left w:type="dxa" w:w="100"/>
              <w:bottom w:type="dxa" w:w="60"/>
              <w:right w:type="dxa" w:w="100"/>
            </w:tcMar>
            <w:vAlign w:val="center"/>
          </w:tcPr>
          <w:p>
            <w:pPr>
              <w:spacing w:after="0"/>
              <w:jc w:val="center"/>
            </w:pPr>
            <w:r>
              <w:rPr>
                <w:rFonts w:ascii="Times New Roman" w:eastAsia="宋体" w:hAnsi="Times New Roman"/>
                <w:color w:val="000000"/>
                <w:sz w:val="21"/>
                <w:szCs w:val="21"/>
              </w:rPr>
              <w:t xml:space="preserve">通过</w:t>
            </w:r>
          </w:p>
        </w:tc>
      </w:tr>
    </w:tbl>
    <w:p>
      <w:pPr>
        <w:pStyle w:val="Heading2"/>
        <w:spacing w:after="140" w:before="280" w:line="340"/>
      </w:pPr>
      <w:r>
        <w:rPr>
          <w:rFonts w:ascii="Times New Roman" w:eastAsia="黑体" w:hAnsi="Times New Roman"/>
          <w:b/>
          <w:bCs/>
          <w:color w:val="000000"/>
          <w:sz w:val="28"/>
          <w:szCs w:val="28"/>
        </w:rPr>
        <w:t xml:space="preserve">（二）发现问题与整改说明</w:t>
      </w:r>
    </w:p>
    <w:p>
      <w:pPr>
        <w:pStyle w:val="Heading3"/>
        <w:spacing w:after="110" w:before="220"/>
      </w:pPr>
      <w:r>
        <w:rPr>
          <w:rFonts w:ascii="Times New Roman" w:eastAsia="黑体" w:hAnsi="Times New Roman"/>
          <w:b/>
          <w:bCs/>
          <w:color w:val="000000"/>
          <w:sz w:val="24"/>
          <w:szCs w:val="24"/>
        </w:rPr>
        <w:t xml:space="preserve">问题 1（低危）：初始部署默认账号存在默认口令</w:t>
      </w:r>
    </w:p>
    <w:p>
      <w:pPr>
        <w:spacing w:after="100" w:line="360" w:lineRule="auto"/>
        <w:ind w:firstLine="480" w:firstLineChars="200"/>
        <w:jc w:val="both"/>
      </w:pPr>
      <w:r>
        <w:rPr>
          <w:rFonts w:ascii="Times New Roman" w:eastAsia="仿宋_GB2312" w:hAnsi="Times New Roman"/>
          <w:color w:val="000000"/>
          <w:sz w:val="24"/>
          <w:szCs w:val="24"/>
        </w:rPr>
        <w:t xml:space="preserve">描述：首次部署初始化的超级管理员账号使用出厂默认口令。整改：上线流程强制首次登录修改初始口令（系统已内置强制修改机制），交付文档《开发环境部署说明》与《系统技术维护手册》均已明确该要求，生产环境已完成修改。复测通过。</w:t>
      </w:r>
    </w:p>
    <w:p>
      <w:pPr>
        <w:pStyle w:val="Heading3"/>
        <w:spacing w:after="110" w:before="220"/>
      </w:pPr>
      <w:r>
        <w:rPr>
          <w:rFonts w:ascii="Times New Roman" w:eastAsia="黑体" w:hAnsi="Times New Roman"/>
          <w:b/>
          <w:bCs/>
          <w:color w:val="000000"/>
          <w:sz w:val="24"/>
          <w:szCs w:val="24"/>
        </w:rPr>
        <w:t xml:space="preserve">问题 2（中危）：消息内容富文本注入</w:t>
      </w:r>
    </w:p>
    <w:p>
      <w:pPr>
        <w:spacing w:after="100" w:line="360" w:lineRule="auto"/>
        <w:ind w:firstLine="480" w:firstLineChars="200"/>
        <w:jc w:val="both"/>
      </w:pPr>
      <w:r>
        <w:rPr>
          <w:rFonts w:ascii="Times New Roman" w:eastAsia="仿宋_GB2312" w:hAnsi="Times New Roman"/>
          <w:color w:val="000000"/>
          <w:sz w:val="24"/>
          <w:szCs w:val="24"/>
        </w:rPr>
        <w:t xml:space="preserve">描述：会话消息富文本字段存在潜在存储型注入风险。整改：消息内容统一按 JSON 结构化存储并在前端渲染层启用转义与白名单过滤，富文本标签白名单化。复测：注入用例回显为纯文本，漏洞关闭。</w:t>
      </w:r>
    </w:p>
    <w:p>
      <w:pPr>
        <w:pStyle w:val="Heading3"/>
        <w:spacing w:after="110" w:before="220"/>
      </w:pPr>
      <w:r>
        <w:rPr>
          <w:rFonts w:ascii="Times New Roman" w:eastAsia="黑体" w:hAnsi="Times New Roman"/>
          <w:b/>
          <w:bCs/>
          <w:color w:val="000000"/>
          <w:sz w:val="24"/>
          <w:szCs w:val="24"/>
        </w:rPr>
        <w:t xml:space="preserve">问题 3（中危）：依赖组件 CVE</w:t>
      </w:r>
    </w:p>
    <w:p>
      <w:pPr>
        <w:spacing w:after="100" w:line="360" w:lineRule="auto"/>
        <w:ind w:firstLine="480" w:firstLineChars="200"/>
        <w:jc w:val="both"/>
      </w:pPr>
      <w:r>
        <w:rPr>
          <w:rFonts w:ascii="Times New Roman" w:eastAsia="仿宋_GB2312" w:hAnsi="Times New Roman"/>
          <w:color w:val="000000"/>
          <w:sz w:val="24"/>
          <w:szCs w:val="24"/>
        </w:rPr>
        <w:t xml:space="preserve">描述：SCA 扫描发现两个第三方依赖存在已公开中危 CVE。整改：升级至官方修复版本并完成全量回归测试（功能无影响）。复测：Dependency-Check 复扫无高危及中危遗留。</w:t>
      </w:r>
    </w:p>
    <w:p>
      <w:pPr>
        <w:pStyle w:val="Heading1"/>
        <w:spacing w:after="180" w:before="360" w:line="360"/>
      </w:pPr>
      <w:r>
        <w:rPr>
          <w:rFonts w:ascii="Times New Roman" w:eastAsia="黑体" w:hAnsi="Times New Roman"/>
          <w:b/>
          <w:bCs/>
          <w:color w:val="000000"/>
          <w:sz w:val="32"/>
          <w:szCs w:val="32"/>
        </w:rPr>
        <w:t xml:space="preserve">五、安全设计说明</w:t>
      </w:r>
    </w:p>
    <w:p>
      <w:pPr>
        <w:pStyle w:val="Heading2"/>
        <w:spacing w:after="140" w:before="280" w:line="340"/>
      </w:pPr>
      <w:r>
        <w:rPr>
          <w:rFonts w:ascii="Times New Roman" w:eastAsia="黑体" w:hAnsi="Times New Roman"/>
          <w:b/>
          <w:bCs/>
          <w:color w:val="000000"/>
          <w:sz w:val="28"/>
          <w:szCs w:val="28"/>
        </w:rPr>
        <w:t xml:space="preserve">（一）认证与授权</w:t>
      </w:r>
    </w:p>
    <w:p>
      <w:pPr>
        <w:pStyle w:val="ListParagraph"/>
        <w:numPr>
          <w:ilvl w:val="0"/>
          <w:numId w:val="2"/>
        </w:numPr>
        <w:spacing w:after="60" w:line="340"/>
      </w:pPr>
      <w:r>
        <w:rPr>
          <w:rFonts w:ascii="Times New Roman" w:eastAsia="仿宋_GB2312" w:hAnsi="Times New Roman"/>
          <w:color w:val="000000"/>
          <w:sz w:val="24"/>
          <w:szCs w:val="24"/>
        </w:rPr>
        <w:t xml:space="preserve">口令存储采用 BCrypt 自适应哈希，杜绝明文与可逆加密；</w:t>
      </w:r>
    </w:p>
    <w:p>
      <w:pPr>
        <w:pStyle w:val="ListParagraph"/>
        <w:numPr>
          <w:ilvl w:val="0"/>
          <w:numId w:val="2"/>
        </w:numPr>
        <w:spacing w:after="60" w:line="340"/>
      </w:pPr>
      <w:r>
        <w:rPr>
          <w:rFonts w:ascii="Times New Roman" w:eastAsia="仿宋_GB2312" w:hAnsi="Times New Roman"/>
          <w:color w:val="000000"/>
          <w:sz w:val="24"/>
          <w:szCs w:val="24"/>
        </w:rPr>
        <w:t xml:space="preserve">接口统一经 Spring Security 鉴权（Token 会话），WebSocket/MQTT 连接同样携带凭证握手；</w:t>
      </w:r>
    </w:p>
    <w:p>
      <w:pPr>
        <w:pStyle w:val="ListParagraph"/>
        <w:numPr>
          <w:ilvl w:val="0"/>
          <w:numId w:val="2"/>
        </w:numPr>
        <w:spacing w:after="60" w:line="340"/>
      </w:pPr>
      <w:r>
        <w:rPr>
          <w:rFonts w:ascii="Times New Roman" w:eastAsia="仿宋_GB2312" w:hAnsi="Times New Roman"/>
          <w:color w:val="000000"/>
          <w:sz w:val="24"/>
          <w:szCs w:val="24"/>
        </w:rPr>
        <w:t xml:space="preserve">多租户数据按 org_uid 逻辑隔离，工单支持部门级行级隔离，越权访问在服务层被拦截。</w:t>
      </w:r>
    </w:p>
    <w:p>
      <w:pPr>
        <w:pStyle w:val="Heading2"/>
        <w:spacing w:after="140" w:before="280" w:line="340"/>
      </w:pPr>
      <w:r>
        <w:rPr>
          <w:rFonts w:ascii="Times New Roman" w:eastAsia="黑体" w:hAnsi="Times New Roman"/>
          <w:b/>
          <w:bCs/>
          <w:color w:val="000000"/>
          <w:sz w:val="28"/>
          <w:szCs w:val="28"/>
        </w:rPr>
        <w:t xml:space="preserve">（二）数据安全</w:t>
      </w:r>
    </w:p>
    <w:p>
      <w:pPr>
        <w:pStyle w:val="ListParagraph"/>
        <w:numPr>
          <w:ilvl w:val="0"/>
          <w:numId w:val="2"/>
        </w:numPr>
        <w:spacing w:after="60" w:line="340"/>
      </w:pPr>
      <w:r>
        <w:rPr>
          <w:rFonts w:ascii="Times New Roman" w:eastAsia="仿宋_GB2312" w:hAnsi="Times New Roman"/>
          <w:color w:val="000000"/>
          <w:sz w:val="24"/>
          <w:szCs w:val="24"/>
        </w:rPr>
        <w:t xml:space="preserve">敏感配置（数据库口令、大模型 API Key、短信/邮件密钥）采用 Jasypt 加密存储，加密口令经环境变量注入；</w:t>
      </w:r>
    </w:p>
    <w:p>
      <w:pPr>
        <w:pStyle w:val="ListParagraph"/>
        <w:numPr>
          <w:ilvl w:val="0"/>
          <w:numId w:val="2"/>
        </w:numPr>
        <w:spacing w:after="60" w:line="340"/>
      </w:pPr>
      <w:r>
        <w:rPr>
          <w:rFonts w:ascii="Times New Roman" w:eastAsia="仿宋_GB2312" w:hAnsi="Times New Roman"/>
          <w:color w:val="000000"/>
          <w:sz w:val="24"/>
          <w:szCs w:val="24"/>
        </w:rPr>
        <w:t xml:space="preserve">全链路 HTTPS/WSS 传输加密，经 Nginx 反向代理统一终结；</w:t>
      </w:r>
    </w:p>
    <w:p>
      <w:pPr>
        <w:pStyle w:val="ListParagraph"/>
        <w:numPr>
          <w:ilvl w:val="0"/>
          <w:numId w:val="2"/>
        </w:numPr>
        <w:spacing w:after="60" w:line="340"/>
      </w:pPr>
      <w:r>
        <w:rPr>
          <w:rFonts w:ascii="Times New Roman" w:eastAsia="仿宋_GB2312" w:hAnsi="Times New Roman"/>
          <w:color w:val="000000"/>
          <w:sz w:val="24"/>
          <w:szCs w:val="24"/>
        </w:rPr>
        <w:t xml:space="preserve">日志输出对手机号、口令等敏感字段脱敏。</w:t>
      </w:r>
    </w:p>
    <w:p>
      <w:pPr>
        <w:pStyle w:val="Heading2"/>
        <w:spacing w:after="140" w:before="280" w:line="340"/>
      </w:pPr>
      <w:r>
        <w:rPr>
          <w:rFonts w:ascii="Times New Roman" w:eastAsia="黑体" w:hAnsi="Times New Roman"/>
          <w:b/>
          <w:bCs/>
          <w:color w:val="000000"/>
          <w:sz w:val="28"/>
          <w:szCs w:val="28"/>
        </w:rPr>
        <w:t xml:space="preserve">（三）运维安全</w:t>
      </w:r>
    </w:p>
    <w:p>
      <w:pPr>
        <w:pStyle w:val="ListParagraph"/>
        <w:numPr>
          <w:ilvl w:val="0"/>
          <w:numId w:val="2"/>
        </w:numPr>
        <w:spacing w:after="60" w:line="340"/>
      </w:pPr>
      <w:r>
        <w:rPr>
          <w:rFonts w:ascii="Times New Roman" w:eastAsia="仿宋_GB2312" w:hAnsi="Times New Roman"/>
          <w:color w:val="000000"/>
          <w:sz w:val="24"/>
          <w:szCs w:val="24"/>
        </w:rPr>
        <w:t xml:space="preserve">数据库账号最小权限授权，中间件（MySQL/Redis）仅内网监听，不直接暴露互联网；</w:t>
      </w:r>
    </w:p>
    <w:p>
      <w:pPr>
        <w:pStyle w:val="ListParagraph"/>
        <w:numPr>
          <w:ilvl w:val="0"/>
          <w:numId w:val="2"/>
        </w:numPr>
        <w:spacing w:after="60" w:line="340"/>
      </w:pPr>
      <w:r>
        <w:rPr>
          <w:rFonts w:ascii="Times New Roman" w:eastAsia="仿宋_GB2312" w:hAnsi="Times New Roman"/>
          <w:color w:val="000000"/>
          <w:sz w:val="24"/>
          <w:szCs w:val="24"/>
        </w:rPr>
        <w:t xml:space="preserve">每日自动备份异机存放，备份文件保留 30 天；</w:t>
      </w:r>
    </w:p>
    <w:p>
      <w:pPr>
        <w:pStyle w:val="ListParagraph"/>
        <w:numPr>
          <w:ilvl w:val="0"/>
          <w:numId w:val="2"/>
        </w:numPr>
        <w:spacing w:after="60" w:line="340"/>
      </w:pPr>
      <w:r>
        <w:rPr>
          <w:rFonts w:ascii="Times New Roman" w:eastAsia="仿宋_GB2312" w:hAnsi="Times New Roman"/>
          <w:color w:val="000000"/>
          <w:sz w:val="24"/>
          <w:szCs w:val="24"/>
        </w:rPr>
        <w:t xml:space="preserve">可按需配置 IP 白名单/黑名单限制访问来源。</w:t>
      </w:r>
    </w:p>
    <w:p>
      <w:pPr>
        <w:pStyle w:val="Heading1"/>
        <w:spacing w:after="180" w:before="360" w:line="360"/>
      </w:pPr>
      <w:r>
        <w:rPr>
          <w:rFonts w:ascii="Times New Roman" w:eastAsia="黑体" w:hAnsi="Times New Roman"/>
          <w:b/>
          <w:bCs/>
          <w:color w:val="000000"/>
          <w:sz w:val="32"/>
          <w:szCs w:val="32"/>
        </w:rPr>
        <w:t xml:space="preserve">六、测试结论</w:t>
      </w:r>
    </w:p>
    <w:p>
      <w:pPr>
        <w:pStyle w:val="ListParagraph"/>
        <w:numPr>
          <w:ilvl w:val="0"/>
          <w:numId w:val="2"/>
        </w:numPr>
        <w:spacing w:after="60" w:line="340"/>
      </w:pPr>
      <w:r>
        <w:rPr>
          <w:rFonts w:ascii="Times New Roman" w:eastAsia="仿宋_GB2312" w:hAnsi="Times New Roman"/>
          <w:color w:val="000000"/>
          <w:sz w:val="24"/>
          <w:szCs w:val="24"/>
        </w:rPr>
        <w:t xml:space="preserve">9 类安全测试项全部通过，共发现问题 3 项（1 低危、2 中危），全部完成整改并通过复测；</w:t>
      </w:r>
    </w:p>
    <w:p>
      <w:pPr>
        <w:pStyle w:val="ListParagraph"/>
        <w:numPr>
          <w:ilvl w:val="0"/>
          <w:numId w:val="2"/>
        </w:numPr>
        <w:spacing w:after="60" w:line="340"/>
      </w:pPr>
      <w:r>
        <w:rPr>
          <w:rFonts w:ascii="Times New Roman" w:eastAsia="仿宋_GB2312" w:hAnsi="Times New Roman"/>
          <w:color w:val="000000"/>
          <w:sz w:val="24"/>
          <w:szCs w:val="24"/>
        </w:rPr>
        <w:t xml:space="preserve">未发现任何高危漏洞，满足合同第四条 5.4 终验标准“不存在高危漏洞”的要求；</w:t>
      </w:r>
    </w:p>
    <w:p>
      <w:pPr>
        <w:pStyle w:val="ListParagraph"/>
        <w:numPr>
          <w:ilvl w:val="0"/>
          <w:numId w:val="2"/>
        </w:numPr>
        <w:spacing w:after="60" w:line="340"/>
      </w:pPr>
      <w:r>
        <w:rPr>
          <w:rFonts w:ascii="Times New Roman" w:eastAsia="仿宋_GB2312" w:hAnsi="Times New Roman"/>
          <w:color w:val="000000"/>
          <w:sz w:val="24"/>
          <w:szCs w:val="24"/>
        </w:rPr>
        <w:t xml:space="preserve">敏感数据传输（HTTPS/WSS）与存储（BCrypt/Jasypt）符合安全规范；</w:t>
      </w:r>
    </w:p>
    <w:p>
      <w:pPr>
        <w:pStyle w:val="ListParagraph"/>
        <w:numPr>
          <w:ilvl w:val="0"/>
          <w:numId w:val="2"/>
        </w:numPr>
        <w:spacing w:after="60" w:line="340"/>
      </w:pPr>
      <w:r>
        <w:rPr>
          <w:rFonts w:ascii="Times New Roman" w:eastAsia="仿宋_GB2312" w:hAnsi="Times New Roman"/>
          <w:color w:val="000000"/>
          <w:sz w:val="24"/>
          <w:szCs w:val="24"/>
        </w:rPr>
        <w:t xml:space="preserve">第三方依赖无高危及中危 CVE 遗留。</w:t>
      </w:r>
    </w:p>
    <w:p>
      <w:pPr>
        <w:spacing w:after="100" w:line="360" w:lineRule="auto"/>
        <w:ind w:firstLine="480" w:firstLineChars="200"/>
        <w:jc w:val="both"/>
      </w:pPr>
      <w:r>
        <w:rPr>
          <w:rFonts w:ascii="Times New Roman" w:eastAsia="仿宋_GB2312" w:hAnsi="Times New Roman"/>
          <w:color w:val="000000"/>
          <w:sz w:val="24"/>
          <w:szCs w:val="24"/>
        </w:rPr>
        <w:t xml:space="preserve">综上，系统安全测试通过，满足项目验收的安全要求。</w:t>
      </w:r>
    </w:p>
    <w:p>
      <w:r>
        <w:br w:type="page"/>
      </w:r>
    </w:p>
    <w:p>
      <w:pPr>
        <w:pStyle w:val="Heading1"/>
        <w:spacing w:after="180" w:before="360" w:line="360"/>
      </w:pPr>
      <w:r>
        <w:rPr>
          <w:rFonts w:ascii="Times New Roman" w:eastAsia="黑体" w:hAnsi="Times New Roman"/>
          <w:b/>
          <w:bCs/>
          <w:color w:val="000000"/>
          <w:sz w:val="32"/>
          <w:szCs w:val="32"/>
        </w:rPr>
        <w:t xml:space="preserve">附录：复测与资料说明</w:t>
      </w:r>
    </w:p>
    <w:p>
      <w:pPr>
        <w:pStyle w:val="ListParagraph"/>
        <w:numPr>
          <w:ilvl w:val="0"/>
          <w:numId w:val="2"/>
        </w:numPr>
        <w:spacing w:after="60" w:line="340"/>
      </w:pPr>
      <w:r>
        <w:rPr>
          <w:rFonts w:ascii="Times New Roman" w:eastAsia="仿宋_GB2312" w:hAnsi="Times New Roman"/>
          <w:color w:val="000000"/>
          <w:sz w:val="24"/>
          <w:szCs w:val="24"/>
        </w:rPr>
        <w:t xml:space="preserve">全部问题整改后已在测试环境完成复测，复测记录随项目测试资料归档；</w:t>
      </w:r>
    </w:p>
    <w:p>
      <w:pPr>
        <w:pStyle w:val="ListParagraph"/>
        <w:numPr>
          <w:ilvl w:val="0"/>
          <w:numId w:val="2"/>
        </w:numPr>
        <w:spacing w:after="60" w:line="340"/>
      </w:pPr>
      <w:r>
        <w:rPr>
          <w:rFonts w:ascii="Times New Roman" w:eastAsia="仿宋_GB2312" w:hAnsi="Times New Roman"/>
          <w:color w:val="000000"/>
          <w:sz w:val="24"/>
          <w:szCs w:val="24"/>
        </w:rPr>
        <w:t xml:space="preserve">扫描工具原始报告（ZAP/Dependency-Check 导出件）随测试资料交付，供甲方核查；</w:t>
      </w:r>
    </w:p>
    <w:p>
      <w:pPr>
        <w:pStyle w:val="ListParagraph"/>
        <w:numPr>
          <w:ilvl w:val="0"/>
          <w:numId w:val="2"/>
        </w:numPr>
        <w:spacing w:after="60" w:line="340"/>
      </w:pPr>
      <w:r>
        <w:rPr>
          <w:rFonts w:ascii="Times New Roman" w:eastAsia="仿宋_GB2312" w:hAnsi="Times New Roman"/>
          <w:color w:val="000000"/>
          <w:sz w:val="24"/>
          <w:szCs w:val="24"/>
        </w:rPr>
        <w:t xml:space="preserve">本报告基于项目当前交付版本在预验收环境下的安全测试与整改复测结果整理形成；终验阶段如组织正式安全复测，可沿用本报告测试项、工具口径与判定标准，并以双方现场见证的扫描记录作为最终验收依据。</w:t>
      </w:r>
    </w:p>
    <w:sectPr>
      <w:headerReference w:type="default" r:id="rId7"/>
      <w:footerReference w:type="default" r:id="rId8"/>
      <w:pgSz w:w="11906" w:h="16838" w:orient="portrait"/>
      <w:pgMar w:top="1440" w:right="144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color w:val="000000"/>
        <w:sz w:val="18"/>
        <w:szCs w:val="18"/>
      </w:rPr>
      <w:t xml:space="preserve">第 </w:t>
    </w:r>
    <w:r>
      <w:rPr>
        <w:rFonts w:ascii="Times New Roman" w:eastAsia="宋体" w:hAnsi="Times New Roman"/>
        <w:color w:val="000000"/>
        <w:sz w:val="18"/>
        <w:szCs w:val="18"/>
      </w:rPr>
      <w:fldChar w:fldCharType="begin"/>
      <w:instrText xml:space="preserve">PAGE</w:instrText>
      <w:fldChar w:fldCharType="separate"/>
      <w:fldChar w:fldCharType="end"/>
    </w:r>
    <w:r>
      <w:rPr>
        <w:rFonts w:ascii="Times New Roman" w:eastAsia="宋体" w:hAnsi="Times New Roman"/>
        <w:color w:val="000000"/>
        <w:sz w:val="18"/>
        <w:szCs w:val="18"/>
      </w:rPr>
      <w:t xml:space="preserve"> 页 / 共 </w:t>
    </w:r>
    <w:r>
      <w:rPr>
        <w:rFonts w:ascii="Times New Roman" w:eastAsia="宋体" w:hAnsi="Times New Roman"/>
        <w:color w:val="000000"/>
        <w:sz w:val="18"/>
        <w:szCs w:val="18"/>
      </w:rPr>
      <w:fldChar w:fldCharType="begin"/>
      <w:instrText xml:space="preserve">NUMPAGES</w:instrText>
      <w:fldChar w:fldCharType="separate"/>
      <w:fldChar w:fldCharType="end"/>
    </w:r>
    <w:r>
      <w:rPr>
        <w:rFonts w:ascii="Times New Roman" w:eastAsia="宋体" w:hAnsi="Times New Roman"/>
        <w:color w:val="00000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C3E5" w:sz="6"/>
      </w:pBdr>
      <w:jc w:val="center"/>
    </w:pPr>
    <w:r>
      <w:rPr>
        <w:rFonts w:ascii="Times New Roman" w:eastAsia="宋体" w:hAnsi="Times New Roman"/>
        <w:color w:val="000000"/>
        <w:sz w:val="18"/>
        <w:szCs w:val="18"/>
      </w:rPr>
      <w:t xml:space="preserve">项目名称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仿宋_GB2312"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2026-09-16T03:17:07.577Z</dcterms:created>
  <dcterms:modified xsi:type="dcterms:W3CDTF">2026-09-16T03:17:07.577Z</dcterms:modified>
</cp:coreProperties>
</file>

<file path=docProps/custom.xml><?xml version="1.0" encoding="utf-8"?>
<Properties xmlns="http://schemas.openxmlformats.org/officeDocument/2006/custom-properties" xmlns:vt="http://schemas.openxmlformats.org/officeDocument/2006/docPropsVTypes"/>
</file>