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60"/>
        <w:jc w:val="center"/>
      </w:pPr>
      <w:r>
        <w:rPr>
          <w:rFonts w:ascii="Calibri" w:hAnsi="Calibri"/>
          <w:b/>
          <w:color w:val="A95134"/>
          <w:sz w:val="21"/>
        </w:rPr>
        <w:t>STANDARD OPERATING PROCEDURE</w:t>
      </w:r>
    </w:p>
    <w:p>
      <w:pPr>
        <w:pStyle w:val="Title"/>
        <w:jc w:val="center"/>
      </w:pPr>
      <w:r>
        <w:rPr>
          <w:rFonts w:ascii="Calibri" w:hAnsi="Calibri"/>
          <w:b/>
          <w:color w:val="7E3A26"/>
          <w:sz w:val="60"/>
        </w:rPr>
        <w:t>Petrios Hosting Migration</w:t>
      </w:r>
    </w:p>
    <w:p>
      <w:pPr>
        <w:pStyle w:val="Subtitle"/>
        <w:jc w:val="center"/>
      </w:pPr>
      <w:r>
        <w:rPr>
          <w:rFonts w:ascii="Calibri" w:hAnsi="Calibri"/>
          <w:i w:val="0"/>
          <w:color w:val="6D6759"/>
          <w:sz w:val="30"/>
        </w:rPr>
        <w:t>Evaluation, pilot, cutover and rollback</w:t>
        <w:br/>
        <w:t>Render → Cloudflare Workers</w:t>
      </w:r>
    </w:p>
    <w:p>
      <w:pPr>
        <w:spacing w:before="80" w:after="520"/>
        <w:pBdr>
          <w:bottom w:val="single" w:sz="20" w:space="4" w:color="A95134"/>
        </w:pBdr>
      </w:pPr>
    </w:p>
    <w:p>
      <w:pPr>
        <w:spacing w:after="1480" w:line="300" w:lineRule="auto"/>
        <w:jc w:val="center"/>
      </w:pPr>
      <w:r>
        <w:rPr>
          <w:rFonts w:ascii="Calibri" w:hAnsi="Calibri"/>
          <w:b/>
          <w:color w:val="1F1D1A"/>
          <w:sz w:val="24"/>
        </w:rPr>
        <w:t>Default production posture: keep Render as the application host until every mandatory gate in this SOP has passed and the named approvers authorize cutover.</w:t>
      </w:r>
    </w:p>
    <w:p>
      <w:pPr>
        <w:spacing w:after="80"/>
        <w:jc w:val="center"/>
      </w:pPr>
      <w:r>
        <w:rPr>
          <w:rFonts w:ascii="Calibri" w:hAnsi="Calibri"/>
          <w:color w:val="6D6759"/>
          <w:sz w:val="20"/>
        </w:rPr>
        <w:t>Version 1.0  •  Draft for approval  •  20 August 2026</w:t>
      </w:r>
    </w:p>
    <w:p>
      <w:pPr>
        <w:jc w:val="center"/>
      </w:pPr>
      <w:r>
        <w:rPr>
          <w:rFonts w:ascii="Calibri" w:hAnsi="Calibri"/>
          <w:i/>
          <w:color w:val="6D6759"/>
          <w:sz w:val="19"/>
        </w:rPr>
        <w:t>Prepared for Petrios platform operations</w:t>
      </w:r>
    </w:p>
    <w:p>
      <w:r>
        <w:br w:type="page"/>
      </w:r>
    </w:p>
    <w:p>
      <w:pPr>
        <w:pStyle w:val="Heading1"/>
        <w:keepNext/>
        <w:keepLines w:val="0"/>
        <w:pageBreakBefore w:val="0"/>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blHeader w:val="true"/>
        </w:trPr>
        <w:tc>
          <w:tcPr>
            <w:tcW w:type="dxa" w:w="27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Control</w:t>
            </w:r>
          </w:p>
        </w:tc>
        <w:tc>
          <w:tcPr>
            <w:tcW w:type="dxa" w:w="666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Value</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SOP identifier</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PET-OPS-HOST-001</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Version / status</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1.0 / Draft for approval</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Owner</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Platform Engineering</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Approvers</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Product Owner; Technical Lead; Information Governance / DPO</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Effective date</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On approval</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Review cycle</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Before each migration attempt and at least annually</w:t>
            </w:r>
          </w:p>
        </w:tc>
      </w:tr>
      <w:tr>
        <w:trPr>
          <w:cantSplit/>
        </w:trPr>
        <w:tc>
          <w:tcPr>
            <w:tcW w:type="dxa" w:w="2700"/>
            <w:shd w:fill="F2F4F7"/>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Classification</w:t>
            </w:r>
          </w:p>
        </w:tc>
        <w:tc>
          <w:tcPr>
            <w:tcW w:type="dxa" w:w="66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8"/>
              </w:rPr>
              <w:t>Internal – Operational</w:t>
            </w:r>
          </w:p>
        </w:tc>
      </w:tr>
    </w:tbl>
    <w:p>
      <w:pPr>
        <w:spacing w:before="0" w:after="80" w:line="252" w:lineRule="auto"/>
      </w:pPr>
      <w:r>
        <w:rPr>
          <w:rFonts w:ascii="Calibri" w:hAnsi="Calibri"/>
          <w:i/>
          <w:color w:val="6D6759"/>
          <w:sz w:val="17"/>
        </w:rPr>
        <w:t>Controlled only when referenced from the approved change record. Printed or downloaded copies may become outdated.</w:t>
      </w:r>
    </w:p>
    <w:p>
      <w:pPr>
        <w:pStyle w:val="Heading1"/>
        <w:keepNext/>
        <w:keepLines w:val="0"/>
        <w:pageBreakBefore w:val="0"/>
      </w:pPr>
      <w:r>
        <w:t>1. Purpose and operating decision</w:t>
      </w:r>
    </w:p>
    <w:p>
      <w:pPr/>
      <w:r>
        <w:rPr>
          <w:rFonts w:ascii="Calibri" w:hAnsi="Calibri"/>
          <w:color w:val="1F1D1A"/>
          <w:sz w:val="22"/>
        </w:rPr>
        <w:t>This SOP governs how Petrios evaluates and, only when approved, migrates its stateless Next.js application runtime from Render to Cloudflare Workers. It establishes evidence requirements, approval gates, the production cutover sequence, monitoring, and rollback. Supabase database, Auth and Storage are not migrated by this procedure.</w:t>
      </w:r>
    </w:p>
    <w:p>
      <w:pPr>
        <w:keepNext w:val="0"/>
        <w:keepLines/>
        <w:pageBreakBefore w:val="0"/>
        <w:spacing w:before="100" w:after="180" w:line="276" w:lineRule="auto"/>
        <w:ind w:left="173" w:right="115"/>
        <w:shd w:fill="FFF4DA"/>
        <w:pBdr>
          <w:left w:val="single" w:sz="20" w:space="8" w:color="8A5A00"/>
        </w:pBdr>
      </w:pPr>
      <w:r>
        <w:rPr>
          <w:rFonts w:ascii="Calibri" w:hAnsi="Calibri"/>
          <w:b/>
          <w:color w:val="8A5A00"/>
          <w:sz w:val="21"/>
        </w:rPr>
        <w:t xml:space="preserve">CURRENT DECISION  </w:t>
      </w:r>
      <w:r>
        <w:rPr>
          <w:rFonts w:ascii="Calibri" w:hAnsi="Calibri"/>
          <w:color w:val="1F1D1A"/>
          <w:sz w:val="21"/>
        </w:rPr>
        <w:t>A full production move is not approved by default. Render remains the production origin until Cloudflare staging proves the heavy Petrios workloads—especially 25 MiB uploads, 50 MiB AI document inputs, PDF generation and scheduled email jobs—within Workers limits.</w:t>
      </w:r>
    </w:p>
    <w:p>
      <w:pPr/>
      <w:r>
        <w:rPr>
          <w:rFonts w:ascii="Calibri" w:hAnsi="Calibri"/>
          <w:color w:val="1F1D1A"/>
          <w:sz w:val="22"/>
        </w:rPr>
        <w:t>This procedure may also be used to approve a lower-risk edge-only arrangement in which Cloudflare provides DNS, proxy, CDN or WAF services while Render continues to run the Next.js server. That option still changes the processor and traffic path and therefore requires the applicable security and privacy review.</w:t>
      </w:r>
    </w:p>
    <w:p>
      <w:pPr>
        <w:pStyle w:val="Heading1"/>
        <w:keepNext/>
        <w:keepLines w:val="0"/>
        <w:pageBreakBefore w:val="0"/>
      </w:pPr>
      <w:r>
        <w:t>2. Scope</w:t>
      </w:r>
    </w:p>
    <w:p>
      <w:pPr>
        <w:pStyle w:val="Heading2"/>
        <w:keepNext/>
        <w:keepLines w:val="0"/>
        <w:pageBreakBefore w:val="0"/>
      </w:pPr>
      <w:r>
        <w:t>2.1 Included</w:t>
      </w:r>
    </w:p>
    <w:p>
      <w:pPr>
        <w:spacing w:after="80" w:line="300" w:lineRule="auto"/>
        <w:ind w:left="540" w:hanging="271"/>
        <w:numPr>
          <w:ilvl w:val="0"/>
          <w:numId w:val="10"/>
        </w:numPr>
      </w:pPr>
      <w:r>
        <w:rPr>
          <w:rFonts w:ascii="Calibri" w:hAnsi="Calibri"/>
          <w:color w:val="1F1D1A"/>
          <w:sz w:val="22"/>
        </w:rPr>
        <w:t>Next.js 16 App Router pages, Server Actions, route handlers, proxy behaviour and static assets.</w:t>
      </w:r>
    </w:p>
    <w:p>
      <w:pPr>
        <w:spacing w:after="80" w:line="300" w:lineRule="auto"/>
        <w:ind w:left="540" w:hanging="271"/>
        <w:numPr>
          <w:ilvl w:val="0"/>
          <w:numId w:val="10"/>
        </w:numPr>
      </w:pPr>
      <w:r>
        <w:rPr>
          <w:rFonts w:ascii="Calibri" w:hAnsi="Calibri"/>
          <w:color w:val="1F1D1A"/>
          <w:sz w:val="22"/>
        </w:rPr>
        <w:t>Supabase client traffic, Auth cookies and all organization/department authorization boundaries.</w:t>
      </w:r>
    </w:p>
    <w:p>
      <w:pPr>
        <w:spacing w:after="80" w:line="300" w:lineRule="auto"/>
        <w:ind w:left="540" w:hanging="271"/>
        <w:numPr>
          <w:ilvl w:val="0"/>
          <w:numId w:val="10"/>
        </w:numPr>
      </w:pPr>
      <w:r>
        <w:rPr>
          <w:rFonts w:ascii="Calibri" w:hAnsi="Calibri"/>
          <w:color w:val="1F1D1A"/>
          <w:sz w:val="22"/>
        </w:rPr>
        <w:t>Session-document upload/download, certificate and portfolio PDF generation, AI/TTS calls, transactional email and signed webhooks.</w:t>
      </w:r>
    </w:p>
    <w:p>
      <w:pPr>
        <w:spacing w:after="80" w:line="300" w:lineRule="auto"/>
        <w:ind w:left="540" w:hanging="271"/>
        <w:numPr>
          <w:ilvl w:val="0"/>
          <w:numId w:val="10"/>
        </w:numPr>
      </w:pPr>
      <w:r>
        <w:rPr>
          <w:rFonts w:ascii="Calibri" w:hAnsi="Calibri"/>
          <w:color w:val="1F1D1A"/>
          <w:sz w:val="22"/>
        </w:rPr>
        <w:t>Six authenticated scheduled-route families and their idempotency/failure semantics.</w:t>
      </w:r>
    </w:p>
    <w:p>
      <w:pPr>
        <w:spacing w:after="80" w:line="300" w:lineRule="auto"/>
        <w:ind w:left="540" w:hanging="271"/>
        <w:numPr>
          <w:ilvl w:val="0"/>
          <w:numId w:val="10"/>
        </w:numPr>
      </w:pPr>
      <w:r>
        <w:rPr>
          <w:rFonts w:ascii="Calibri" w:hAnsi="Calibri"/>
          <w:color w:val="1F1D1A"/>
          <w:sz w:val="22"/>
        </w:rPr>
        <w:t>Cloudflare configuration, secrets, logs, custom domain, data location, cost, monitoring and rollback.</w:t>
      </w:r>
    </w:p>
    <w:p>
      <w:pPr>
        <w:pStyle w:val="Heading2"/>
        <w:keepNext/>
        <w:keepLines w:val="0"/>
        <w:pageBreakBefore w:val="0"/>
      </w:pPr>
      <w:r>
        <w:t>2.2 Excluded</w:t>
      </w:r>
    </w:p>
    <w:p>
      <w:pPr>
        <w:spacing w:after="80" w:line="300" w:lineRule="auto"/>
        <w:ind w:left="540" w:hanging="271"/>
        <w:numPr>
          <w:ilvl w:val="0"/>
          <w:numId w:val="11"/>
        </w:numPr>
      </w:pPr>
      <w:r>
        <w:rPr>
          <w:rFonts w:ascii="Calibri" w:hAnsi="Calibri"/>
          <w:color w:val="1F1D1A"/>
          <w:sz w:val="22"/>
        </w:rPr>
        <w:t>Moving or redesigning Supabase Postgres, Auth or Storage.</w:t>
      </w:r>
    </w:p>
    <w:p>
      <w:pPr>
        <w:spacing w:after="80" w:line="300" w:lineRule="auto"/>
        <w:ind w:left="540" w:hanging="271"/>
        <w:numPr>
          <w:ilvl w:val="0"/>
          <w:numId w:val="11"/>
        </w:numPr>
      </w:pPr>
      <w:r>
        <w:rPr>
          <w:rFonts w:ascii="Calibri" w:hAnsi="Calibri"/>
          <w:color w:val="1F1D1A"/>
          <w:sz w:val="22"/>
        </w:rPr>
        <w:t>Changing attendance, certificate, Ops approval, Recall, API or webhook product behaviour.</w:t>
      </w:r>
    </w:p>
    <w:p>
      <w:pPr>
        <w:spacing w:after="80" w:line="300" w:lineRule="auto"/>
        <w:ind w:left="540" w:hanging="271"/>
        <w:numPr>
          <w:ilvl w:val="0"/>
          <w:numId w:val="11"/>
        </w:numPr>
      </w:pPr>
      <w:r>
        <w:rPr>
          <w:rFonts w:ascii="Calibri" w:hAnsi="Calibri"/>
          <w:color w:val="1F1D1A"/>
          <w:sz w:val="22"/>
        </w:rPr>
        <w:t>Replacing Resend, SMTP, OpenAI, ElevenLabs or Jitsi unless separately approved.</w:t>
      </w:r>
    </w:p>
    <w:p>
      <w:pPr>
        <w:spacing w:after="80" w:line="300" w:lineRule="auto"/>
        <w:ind w:left="540" w:hanging="271"/>
        <w:numPr>
          <w:ilvl w:val="0"/>
          <w:numId w:val="11"/>
        </w:numPr>
      </w:pPr>
      <w:r>
        <w:rPr>
          <w:rFonts w:ascii="Calibri" w:hAnsi="Calibri"/>
          <w:color w:val="1F1D1A"/>
          <w:sz w:val="22"/>
        </w:rPr>
        <w:t>Treating a successful technical deployment as DTAC, UK GDPR, security or accessibility certification.</w:t>
      </w:r>
    </w:p>
    <w:p>
      <w:pPr>
        <w:pStyle w:val="Heading1"/>
        <w:keepNext/>
        <w:keepLines w:val="0"/>
        <w:pageBreakBefore w:val="0"/>
      </w:pPr>
      <w:r>
        <w:t>3. Roles and approvals</w:t>
      </w:r>
    </w:p>
    <w:tbl>
      <w:tblPr>
        <w:tblStyle w:val="TableGrid"/>
        <w:tblW w:type="dxa" w:w="9360"/>
        <w:jc w:val="left"/>
        <w:tblLayout w:type="fixed"/>
        <w:tblLook w:firstColumn="1" w:firstRow="1" w:lastColumn="0" w:lastRow="0" w:noHBand="0" w:noVBand="1" w:val="04A0"/>
        <w:tblInd w:w="120" w:type="dxa"/>
      </w:tblPr>
      <w:tblGrid>
        <w:gridCol w:w="1750"/>
        <w:gridCol w:w="3860"/>
        <w:gridCol w:w="3750"/>
      </w:tblGrid>
      <w:tr>
        <w:trPr>
          <w:cantSplit/>
          <w:tblHeader w:val="true"/>
        </w:trPr>
        <w:tc>
          <w:tcPr>
            <w:tcW w:type="dxa" w:w="175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Role</w:t>
            </w:r>
          </w:p>
        </w:tc>
        <w:tc>
          <w:tcPr>
            <w:tcW w:type="dxa" w:w="386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Accountability</w:t>
            </w:r>
          </w:p>
        </w:tc>
        <w:tc>
          <w:tcPr>
            <w:tcW w:type="dxa" w:w="375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8"/>
              </w:rPr>
              <w:t>Required approval / evidence</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Change owner</w:t>
            </w:r>
          </w:p>
        </w:tc>
        <w:tc>
          <w:tcPr>
            <w:tcW w:type="dxa" w:w="3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Runs the procedure, records timings and stops when a gate fails.</w:t>
            </w:r>
          </w:p>
        </w:tc>
        <w:tc>
          <w:tcPr>
            <w:tcW w:type="dxa" w:w="375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Named in the change record.</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Technical lead</w:t>
            </w:r>
          </w:p>
        </w:tc>
        <w:tc>
          <w:tcPr>
            <w:tcW w:type="dxa" w:w="3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Owns architecture, OpenNext compatibility, resource and rollback decisions.</w:t>
            </w:r>
          </w:p>
        </w:tc>
        <w:tc>
          <w:tcPr>
            <w:tcW w:type="dxa" w:w="375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Technical go/no-go sign-off.</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Information Governance / DPO</w:t>
            </w:r>
          </w:p>
        </w:tc>
        <w:tc>
          <w:tcPr>
            <w:tcW w:type="dxa" w:w="3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Reviews processor, transfer, logging, residency and public-disclosure changes.</w:t>
            </w:r>
          </w:p>
        </w:tc>
        <w:tc>
          <w:tcPr>
            <w:tcW w:type="dxa" w:w="375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DPIA / transfer decision recorded.</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Security reviewer</w:t>
            </w:r>
          </w:p>
        </w:tc>
        <w:tc>
          <w:tcPr>
            <w:tcW w:type="dxa" w:w="3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Checks secrets, cache rules, headers, WAF, logging and vulnerability results.</w:t>
            </w:r>
          </w:p>
        </w:tc>
        <w:tc>
          <w:tcPr>
            <w:tcW w:type="dxa" w:w="375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No unresolved high or critical finding.</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Service owner</w:t>
            </w:r>
          </w:p>
        </w:tc>
        <w:tc>
          <w:tcPr>
            <w:tcW w:type="dxa" w:w="3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Accepts user impact, support cover, cost and residual risk.</w:t>
            </w:r>
          </w:p>
        </w:tc>
        <w:tc>
          <w:tcPr>
            <w:tcW w:type="dxa" w:w="375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Final production-cutover approval.</w:t>
            </w:r>
          </w:p>
        </w:tc>
      </w:tr>
    </w:tbl>
    <w:p>
      <w:pPr>
        <w:keepNext w:val="0"/>
        <w:keepLines/>
        <w:pageBreakBefore w:val="0"/>
        <w:spacing w:before="100" w:after="180" w:line="276" w:lineRule="auto"/>
        <w:ind w:left="173" w:right="115"/>
        <w:shd w:fill="FCEDED"/>
        <w:pBdr>
          <w:left w:val="single" w:sz="20" w:space="8" w:color="9B1C1C"/>
        </w:pBdr>
      </w:pPr>
      <w:r>
        <w:rPr>
          <w:rFonts w:ascii="Calibri" w:hAnsi="Calibri"/>
          <w:b/>
          <w:color w:val="9B1C1C"/>
          <w:sz w:val="21"/>
        </w:rPr>
        <w:t xml:space="preserve">STOP AUTHORITY  </w:t>
      </w:r>
      <w:r>
        <w:rPr>
          <w:rFonts w:ascii="Calibri" w:hAnsi="Calibri"/>
          <w:color w:val="1F1D1A"/>
          <w:sz w:val="21"/>
        </w:rPr>
        <w:t>The change owner, technical lead, security reviewer or IG/DPO may stop the migration when evidence is missing or a mandatory gate fails. Schedule pressure is not grounds to waive a gate.</w:t>
      </w:r>
    </w:p>
    <w:p>
      <w:pPr>
        <w:pStyle w:val="Heading1"/>
        <w:keepNext/>
        <w:keepLines w:val="0"/>
        <w:pageBreakBefore w:val="0"/>
      </w:pPr>
      <w:r>
        <w:t>4. Non-negotiable platform invariants</w:t>
      </w:r>
    </w:p>
    <w:p>
      <w:pPr/>
      <w:r>
        <w:rPr>
          <w:rFonts w:ascii="Calibri" w:hAnsi="Calibri"/>
          <w:color w:val="1F1D1A"/>
          <w:sz w:val="22"/>
        </w:rPr>
        <w:t>The migration must preserve the repository invariants. A hosting adaptation that changes behaviour must update the relevant specification in the same change.</w:t>
      </w:r>
    </w:p>
    <w:p>
      <w:pPr>
        <w:spacing w:after="80" w:line="300" w:lineRule="auto"/>
        <w:ind w:left="540" w:hanging="271"/>
        <w:numPr>
          <w:ilvl w:val="0"/>
          <w:numId w:val="12"/>
        </w:numPr>
      </w:pPr>
      <w:r>
        <w:rPr>
          <w:rFonts w:ascii="Calibri" w:hAnsi="Calibri"/>
          <w:color w:val="1F1D1A"/>
          <w:sz w:val="22"/>
        </w:rPr>
        <w:t>All data-plane table access remains inside lib/db/ and tenant scope continues to come from trusted context.</w:t>
      </w:r>
    </w:p>
    <w:p>
      <w:pPr>
        <w:spacing w:after="80" w:line="300" w:lineRule="auto"/>
        <w:ind w:left="540" w:hanging="271"/>
        <w:numPr>
          <w:ilvl w:val="0"/>
          <w:numId w:val="12"/>
        </w:numPr>
      </w:pPr>
      <w:r>
        <w:rPr>
          <w:rFonts w:ascii="Calibri" w:hAnsi="Calibri"/>
          <w:color w:val="1F1D1A"/>
          <w:sz w:val="22"/>
        </w:rPr>
        <w:t>Attendance evidence remains append-only; finalization/reopening and Recall recognition semantics remain unchanged.</w:t>
      </w:r>
    </w:p>
    <w:p>
      <w:pPr>
        <w:spacing w:after="80" w:line="300" w:lineRule="auto"/>
        <w:ind w:left="540" w:hanging="271"/>
        <w:numPr>
          <w:ilvl w:val="0"/>
          <w:numId w:val="12"/>
        </w:numPr>
      </w:pPr>
      <w:r>
        <w:rPr>
          <w:rFonts w:ascii="Calibri" w:hAnsi="Calibri"/>
          <w:color w:val="1F1D1A"/>
          <w:sz w:val="22"/>
        </w:rPr>
        <w:t>Petrios Ops sends no outbound email without the existing approval gate, and OPS_ENABLED=false remains a complete kill switch.</w:t>
      </w:r>
    </w:p>
    <w:p>
      <w:pPr>
        <w:spacing w:after="80" w:line="300" w:lineRule="auto"/>
        <w:ind w:left="540" w:hanging="271"/>
        <w:numPr>
          <w:ilvl w:val="0"/>
          <w:numId w:val="12"/>
        </w:numPr>
      </w:pPr>
      <w:r>
        <w:rPr>
          <w:rFonts w:ascii="Calibri" w:hAnsi="Calibri"/>
          <w:color w:val="1F1D1A"/>
          <w:sz w:val="22"/>
        </w:rPr>
        <w:t>Public and API routes continue to authorize themselves; the routing proxy is never treated as an API authorization boundary.</w:t>
      </w:r>
    </w:p>
    <w:p>
      <w:pPr>
        <w:spacing w:after="80" w:line="300" w:lineRule="auto"/>
        <w:ind w:left="540" w:hanging="271"/>
        <w:numPr>
          <w:ilvl w:val="0"/>
          <w:numId w:val="12"/>
        </w:numPr>
      </w:pPr>
      <w:r>
        <w:rPr>
          <w:rFonts w:ascii="Calibri" w:hAnsi="Calibri"/>
          <w:color w:val="1F1D1A"/>
          <w:sz w:val="22"/>
        </w:rPr>
        <w:t>Secrets remain server-only and are neither bundled into browser assets nor emitted in logs.</w:t>
      </w:r>
    </w:p>
    <w:p>
      <w:pPr>
        <w:spacing w:after="80" w:line="300" w:lineRule="auto"/>
        <w:ind w:left="540" w:hanging="271"/>
        <w:numPr>
          <w:ilvl w:val="0"/>
          <w:numId w:val="12"/>
        </w:numPr>
      </w:pPr>
      <w:r>
        <w:rPr>
          <w:rFonts w:ascii="Calibri" w:hAnsi="Calibri"/>
          <w:color w:val="1F1D1A"/>
          <w:sz w:val="22"/>
        </w:rPr>
        <w:t>Compliance pages remain evidence-bound and accurately name hosting, region, transfer and subprocessors.</w:t>
      </w:r>
    </w:p>
    <w:p>
      <w:pPr>
        <w:pStyle w:val="Heading1"/>
        <w:keepNext/>
        <w:keepLines w:val="0"/>
        <w:pageBreakBefore w:val="0"/>
      </w:pPr>
      <w:r>
        <w:t>5. Entry criteria</w:t>
      </w:r>
    </w:p>
    <w:p>
      <w:pPr/>
      <w:r>
        <w:rPr>
          <w:rFonts w:ascii="Calibri" w:hAnsi="Calibri"/>
          <w:color w:val="1F1D1A"/>
          <w:sz w:val="22"/>
        </w:rPr>
        <w:t>Open a migration change record and complete every item before creating or modifying production Cloudflare routes.</w:t>
      </w:r>
    </w:p>
    <w:p>
      <w:pPr>
        <w:spacing w:after="80" w:line="300" w:lineRule="auto"/>
        <w:ind w:left="540" w:hanging="271"/>
        <w:numPr>
          <w:ilvl w:val="0"/>
          <w:numId w:val="13"/>
        </w:numPr>
      </w:pPr>
      <w:r>
        <w:rPr>
          <w:rFonts w:ascii="Calibri" w:hAnsi="Calibri"/>
          <w:color w:val="1F1D1A"/>
          <w:sz w:val="22"/>
        </w:rPr>
        <w:t>Document the business driver: cost, cold-start latency, resilience, security controls, vendor strategy or another measurable outcome.</w:t>
      </w:r>
    </w:p>
    <w:p>
      <w:pPr>
        <w:spacing w:after="80" w:line="300" w:lineRule="auto"/>
        <w:ind w:left="540" w:hanging="271"/>
        <w:numPr>
          <w:ilvl w:val="0"/>
          <w:numId w:val="13"/>
        </w:numPr>
      </w:pPr>
      <w:r>
        <w:rPr>
          <w:rFonts w:ascii="Calibri" w:hAnsi="Calibri"/>
          <w:color w:val="1F1D1A"/>
          <w:sz w:val="22"/>
        </w:rPr>
        <w:t>Record the production domain, Render service ID, plan, region, health-check path, deploy branch, start command, environment groups and all six scheduler definitions.</w:t>
      </w:r>
    </w:p>
    <w:p>
      <w:pPr>
        <w:spacing w:after="80" w:line="300" w:lineRule="auto"/>
        <w:ind w:left="540" w:hanging="271"/>
        <w:numPr>
          <w:ilvl w:val="0"/>
          <w:numId w:val="13"/>
        </w:numPr>
      </w:pPr>
      <w:r>
        <w:rPr>
          <w:rFonts w:ascii="Calibri" w:hAnsi="Calibri"/>
          <w:color w:val="1F1D1A"/>
          <w:sz w:val="22"/>
        </w:rPr>
        <w:t>Capture at least 14 days of baseline availability, p50/p95 server response, 4xx/5xx rate, memory, CPU, outbound bandwidth, build time and monthly cost. If 14 days are unavailable, document the shorter window and limitation.</w:t>
      </w:r>
    </w:p>
    <w:p>
      <w:pPr>
        <w:spacing w:after="80" w:line="300" w:lineRule="auto"/>
        <w:ind w:left="540" w:hanging="271"/>
        <w:numPr>
          <w:ilvl w:val="0"/>
          <w:numId w:val="13"/>
        </w:numPr>
      </w:pPr>
      <w:r>
        <w:rPr>
          <w:rFonts w:ascii="Calibri" w:hAnsi="Calibri"/>
          <w:color w:val="1F1D1A"/>
          <w:sz w:val="22"/>
        </w:rPr>
        <w:t>Confirm a current recoverable Supabase backup/PITR posture and name the person authorized to restore it. This is a safety check, not permission to perform a restore.</w:t>
      </w:r>
    </w:p>
    <w:p>
      <w:pPr>
        <w:spacing w:after="80" w:line="300" w:lineRule="auto"/>
        <w:ind w:left="540" w:hanging="271"/>
        <w:numPr>
          <w:ilvl w:val="0"/>
          <w:numId w:val="13"/>
        </w:numPr>
      </w:pPr>
      <w:r>
        <w:rPr>
          <w:rFonts w:ascii="Calibri" w:hAnsi="Calibri"/>
          <w:color w:val="1F1D1A"/>
          <w:sz w:val="22"/>
        </w:rPr>
        <w:t>Select a representative two-organization staging dataset containing every role and workflow without using unnecessary production personal data.</w:t>
      </w:r>
    </w:p>
    <w:p>
      <w:pPr>
        <w:spacing w:after="80" w:line="300" w:lineRule="auto"/>
        <w:ind w:left="540" w:hanging="271"/>
        <w:numPr>
          <w:ilvl w:val="0"/>
          <w:numId w:val="13"/>
        </w:numPr>
      </w:pPr>
      <w:r>
        <w:rPr>
          <w:rFonts w:ascii="Calibri" w:hAnsi="Calibri"/>
          <w:color w:val="1F1D1A"/>
          <w:sz w:val="22"/>
        </w:rPr>
        <w:t>Agree a change window, support channel, incident commander, rollback operator and user-communication path.</w:t>
      </w:r>
    </w:p>
    <w:p>
      <w:pPr>
        <w:spacing w:after="80" w:line="300" w:lineRule="auto"/>
        <w:ind w:left="540" w:hanging="271"/>
        <w:numPr>
          <w:ilvl w:val="0"/>
          <w:numId w:val="13"/>
        </w:numPr>
      </w:pPr>
      <w:r>
        <w:rPr>
          <w:rFonts w:ascii="Calibri" w:hAnsi="Calibri"/>
          <w:color w:val="1F1D1A"/>
          <w:sz w:val="22"/>
        </w:rPr>
        <w:t>Record the exact source commit and confirm the worktree contains no unreviewed deployment change.</w:t>
      </w:r>
    </w:p>
    <w:p>
      <w:pPr>
        <w:pStyle w:val="Heading1"/>
        <w:keepNext/>
        <w:keepLines w:val="0"/>
        <w:pageBreakBefore w:val="0"/>
      </w:pPr>
      <w:r>
        <w:t>6. Mandatory go/no-go gates</w:t>
      </w:r>
    </w:p>
    <w:tbl>
      <w:tblPr>
        <w:tblStyle w:val="TableGrid"/>
        <w:tblW w:type="dxa" w:w="9360"/>
        <w:jc w:val="left"/>
        <w:tblLayout w:type="fixed"/>
        <w:tblLook w:firstColumn="1" w:firstRow="1" w:lastColumn="0" w:lastRow="0" w:noHBand="0" w:noVBand="1" w:val="04A0"/>
        <w:tblInd w:w="120" w:type="dxa"/>
      </w:tblPr>
      <w:tblGrid>
        <w:gridCol w:w="1250"/>
        <w:gridCol w:w="4490"/>
        <w:gridCol w:w="1450"/>
        <w:gridCol w:w="2170"/>
      </w:tblGrid>
      <w:tr>
        <w:trPr>
          <w:cantSplit/>
          <w:tblHeader w:val="true"/>
        </w:trPr>
        <w:tc>
          <w:tcPr>
            <w:tcW w:type="dxa" w:w="1250"/>
            <w:shd w:fill="E7DDD4"/>
            <w:vAlign w:val="center"/>
            <w:tcMar>
              <w:top w:w="80" w:type="dxa"/>
              <w:start w:w="120" w:type="dxa"/>
              <w:bottom w:w="80" w:type="dxa"/>
              <w:end w:w="120" w:type="dxa"/>
            </w:tcMar>
          </w:tcPr>
          <w:p>
            <w:pPr>
              <w:spacing w:before="0" w:after="40" w:line="269" w:lineRule="auto"/>
              <w:jc w:val="center"/>
            </w:pPr>
            <w:r>
              <w:rPr>
                <w:rFonts w:ascii="Calibri" w:hAnsi="Calibri"/>
                <w:b/>
                <w:color w:val="7E3A26"/>
                <w:sz w:val="17"/>
              </w:rPr>
              <w:t>Gate</w:t>
            </w:r>
          </w:p>
        </w:tc>
        <w:tc>
          <w:tcPr>
            <w:tcW w:type="dxa" w:w="4490"/>
            <w:shd w:fill="E7DDD4"/>
            <w:vAlign w:val="center"/>
            <w:tcMar>
              <w:top w:w="80" w:type="dxa"/>
              <w:start w:w="120" w:type="dxa"/>
              <w:bottom w:w="80" w:type="dxa"/>
              <w:end w:w="120" w:type="dxa"/>
            </w:tcMar>
          </w:tcPr>
          <w:p>
            <w:pPr>
              <w:spacing w:before="0" w:after="40" w:line="269" w:lineRule="auto"/>
              <w:jc w:val="center"/>
            </w:pPr>
            <w:r>
              <w:rPr>
                <w:rFonts w:ascii="Calibri" w:hAnsi="Calibri"/>
                <w:b/>
                <w:color w:val="7E3A26"/>
                <w:sz w:val="17"/>
              </w:rPr>
              <w:t>Mandatory acceptance criterion</w:t>
            </w:r>
          </w:p>
        </w:tc>
        <w:tc>
          <w:tcPr>
            <w:tcW w:type="dxa" w:w="1450"/>
            <w:shd w:fill="E7DDD4"/>
            <w:vAlign w:val="center"/>
            <w:tcMar>
              <w:top w:w="80" w:type="dxa"/>
              <w:start w:w="120" w:type="dxa"/>
              <w:bottom w:w="80" w:type="dxa"/>
              <w:end w:w="120" w:type="dxa"/>
            </w:tcMar>
          </w:tcPr>
          <w:p>
            <w:pPr>
              <w:spacing w:before="0" w:after="40" w:line="269" w:lineRule="auto"/>
              <w:jc w:val="center"/>
            </w:pPr>
            <w:r>
              <w:rPr>
                <w:rFonts w:ascii="Calibri" w:hAnsi="Calibri"/>
                <w:b/>
                <w:color w:val="7E3A26"/>
                <w:sz w:val="17"/>
              </w:rPr>
              <w:t>Owner</w:t>
            </w:r>
          </w:p>
        </w:tc>
        <w:tc>
          <w:tcPr>
            <w:tcW w:type="dxa" w:w="2170"/>
            <w:shd w:fill="E7DDD4"/>
            <w:vAlign w:val="center"/>
            <w:tcMar>
              <w:top w:w="80" w:type="dxa"/>
              <w:start w:w="120" w:type="dxa"/>
              <w:bottom w:w="80" w:type="dxa"/>
              <w:end w:w="120" w:type="dxa"/>
            </w:tcMar>
          </w:tcPr>
          <w:p>
            <w:pPr>
              <w:spacing w:before="0" w:after="40" w:line="269" w:lineRule="auto"/>
              <w:jc w:val="center"/>
            </w:pPr>
            <w:r>
              <w:rPr>
                <w:rFonts w:ascii="Calibri" w:hAnsi="Calibri"/>
                <w:b/>
                <w:color w:val="7E3A26"/>
                <w:sz w:val="17"/>
              </w:rPr>
              <w:t>Evidence</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Build</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Next.js and OpenNext builds complete; deployed Worker is within the current compressed bundle limit.</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Technical lead</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CI logs; Wrangler size output</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Core function</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All critical journeys pass in staging, including auth, attendance, documents, PDFs, Recall, email, API and webhooks.</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Change owner</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Signed test record</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Resource</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No Worker memory/CPU termination under worst-case payloads and representative concurrency.</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Technical lead</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Worker metrics and logs</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Reliability</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Rollback is rehearsed; Render remains healthy; cron duplication is controlled.</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Change owner</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Timed rehearsal</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Security</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No unresolved high/critical findings; secrets and private responses are not cached or logged.</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Security reviewer</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Review report</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Privacy</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DPIA, DPA/transfer, region, logging and subprocessor decisions are approved and reflected publicly.</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IG / DPO</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Approved records and screenshots</w:t>
            </w:r>
          </w:p>
        </w:tc>
      </w:tr>
      <w:tr>
        <w:trPr>
          <w:cantSplit/>
        </w:trPr>
        <w:tc>
          <w:tcPr>
            <w:tcW w:type="dxa" w:w="125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Value</w:t>
            </w:r>
          </w:p>
        </w:tc>
        <w:tc>
          <w:tcPr>
            <w:tcW w:type="dxa" w:w="449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Measured cost, latency or resilience benefit justifies added operational complexity.</w:t>
            </w:r>
          </w:p>
        </w:tc>
        <w:tc>
          <w:tcPr>
            <w:tcW w:type="dxa" w:w="1450"/>
            <w:vAlign w:val="center"/>
            <w:tcMar>
              <w:top w:w="80" w:type="dxa"/>
              <w:start w:w="120" w:type="dxa"/>
              <w:bottom w:w="80" w:type="dxa"/>
              <w:end w:w="120" w:type="dxa"/>
            </w:tcMar>
          </w:tcPr>
          <w:p>
            <w:pPr>
              <w:spacing w:before="0" w:after="40" w:line="269" w:lineRule="auto"/>
              <w:jc w:val="center"/>
            </w:pPr>
            <w:r>
              <w:rPr>
                <w:rFonts w:ascii="Calibri" w:hAnsi="Calibri"/>
                <w:b w:val="0"/>
                <w:color w:val="1F1D1A"/>
                <w:sz w:val="16"/>
              </w:rPr>
              <w:t>Service owner</w:t>
            </w:r>
          </w:p>
        </w:tc>
        <w:tc>
          <w:tcPr>
            <w:tcW w:type="dxa" w:w="217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Comparison and decision note</w:t>
            </w:r>
          </w:p>
        </w:tc>
      </w:tr>
    </w:tbl>
    <w:p>
      <w:pPr>
        <w:keepNext w:val="0"/>
        <w:keepLines/>
        <w:pageBreakBefore w:val="0"/>
        <w:spacing w:before="100" w:after="180" w:line="276" w:lineRule="auto"/>
        <w:ind w:left="173" w:right="115"/>
        <w:shd w:fill="FFF4DA"/>
        <w:pBdr>
          <w:left w:val="single" w:sz="20" w:space="8" w:color="8A5A00"/>
        </w:pBdr>
      </w:pPr>
      <w:r>
        <w:rPr>
          <w:rFonts w:ascii="Calibri" w:hAnsi="Calibri"/>
          <w:b/>
          <w:color w:val="8A5A00"/>
          <w:sz w:val="21"/>
        </w:rPr>
        <w:t xml:space="preserve">GO RULE  </w:t>
      </w:r>
      <w:r>
        <w:rPr>
          <w:rFonts w:ascii="Calibri" w:hAnsi="Calibri"/>
          <w:color w:val="1F1D1A"/>
          <w:sz w:val="21"/>
        </w:rPr>
        <w:t>Every gate must be PASS. CONDITIONAL, UNKNOWN or NOT TESTED is a NO-GO unless the relevant approver records a time-bounded exception and the service owner explicitly accepts the residual risk. High/critical security findings and unapproved data-processing changes cannot be excepted by engineering alone.</w:t>
      </w:r>
    </w:p>
    <w:p>
      <w:r>
        <w:br w:type="page"/>
      </w:r>
    </w:p>
    <w:p>
      <w:pPr>
        <w:pStyle w:val="Heading1"/>
        <w:keepNext/>
        <w:keepLines w:val="0"/>
        <w:pageBreakBefore w:val="0"/>
      </w:pPr>
      <w:r>
        <w:t>7. Procedure A — discovery and design</w:t>
      </w:r>
    </w:p>
    <w:p>
      <w:pPr>
        <w:pStyle w:val="Heading2"/>
        <w:keepNext/>
        <w:keepLines w:val="0"/>
        <w:pageBreakBefore w:val="0"/>
      </w:pPr>
      <w:r>
        <w:t>Step 1 — inventory the current Render deployment</w:t>
      </w:r>
    </w:p>
    <w:p>
      <w:pPr>
        <w:spacing w:after="80" w:line="300" w:lineRule="auto"/>
        <w:ind w:left="540" w:hanging="271"/>
        <w:numPr>
          <w:ilvl w:val="0"/>
          <w:numId w:val="14"/>
        </w:numPr>
      </w:pPr>
      <w:r>
        <w:rPr>
          <w:rFonts w:ascii="Calibri" w:hAnsi="Calibri"/>
          <w:color w:val="1F1D1A"/>
          <w:sz w:val="22"/>
        </w:rPr>
        <w:t>Export or screenshot service settings, custom domains, environment-variable names, health checks, notifications, scaling, region and deploy controls. Never copy secret values into the change ticket.</w:t>
      </w:r>
    </w:p>
    <w:p>
      <w:pPr>
        <w:spacing w:after="80" w:line="300" w:lineRule="auto"/>
        <w:ind w:left="540" w:hanging="271"/>
        <w:numPr>
          <w:ilvl w:val="0"/>
          <w:numId w:val="14"/>
        </w:numPr>
      </w:pPr>
      <w:r>
        <w:rPr>
          <w:rFonts w:ascii="Calibri" w:hAnsi="Calibri"/>
          <w:color w:val="1F1D1A"/>
          <w:sz w:val="22"/>
        </w:rPr>
        <w:t>List each external dependency and its location: Supabase, Resend/SMTP, OpenAI-compatible endpoint, speech provider, Jitsi, webhooks and monitoring.</w:t>
      </w:r>
    </w:p>
    <w:p>
      <w:pPr>
        <w:spacing w:after="80" w:line="300" w:lineRule="auto"/>
        <w:ind w:left="540" w:hanging="271"/>
        <w:numPr>
          <w:ilvl w:val="0"/>
          <w:numId w:val="14"/>
        </w:numPr>
      </w:pPr>
      <w:r>
        <w:rPr>
          <w:rFonts w:ascii="Calibri" w:hAnsi="Calibri"/>
          <w:color w:val="1F1D1A"/>
          <w:sz w:val="22"/>
        </w:rPr>
        <w:t>Confirm the public /api/health response and run one read-only production smoke journey.</w:t>
      </w:r>
    </w:p>
    <w:p>
      <w:pPr>
        <w:spacing w:after="80" w:line="300" w:lineRule="auto"/>
        <w:ind w:left="540" w:hanging="271"/>
        <w:numPr>
          <w:ilvl w:val="0"/>
          <w:numId w:val="14"/>
        </w:numPr>
      </w:pPr>
      <w:r>
        <w:rPr>
          <w:rFonts w:ascii="Calibri" w:hAnsi="Calibri"/>
          <w:color w:val="1F1D1A"/>
          <w:sz w:val="22"/>
        </w:rPr>
        <w:t>Record cron schedules in UTC, last successful execution and the rows/watermarks used to prove idempotency.</w:t>
      </w:r>
    </w:p>
    <w:p>
      <w:pPr>
        <w:pStyle w:val="Heading2"/>
        <w:keepNext/>
        <w:keepLines w:val="0"/>
        <w:pageBreakBefore w:val="0"/>
      </w:pPr>
      <w:r>
        <w:t>Step 2 — define the target architecture</w:t>
      </w:r>
    </w:p>
    <w:p>
      <w:pPr/>
      <w:r>
        <w:rPr>
          <w:rFonts w:ascii="Calibri" w:hAnsi="Calibri"/>
          <w:color w:val="1F1D1A"/>
          <w:sz w:val="22"/>
        </w:rPr>
        <w:t>Choose one target and record it in the architecture decision record:</w:t>
      </w:r>
    </w:p>
    <w:p>
      <w:pPr>
        <w:spacing w:after="80" w:line="300" w:lineRule="auto"/>
        <w:ind w:left="540" w:hanging="271"/>
        <w:numPr>
          <w:ilvl w:val="0"/>
          <w:numId w:val="15"/>
        </w:numPr>
      </w:pPr>
      <w:r>
        <w:rPr>
          <w:rFonts w:ascii="Calibri" w:hAnsi="Calibri"/>
          <w:color w:val="1F1D1A"/>
          <w:sz w:val="22"/>
        </w:rPr>
        <w:t>Edge-only: Cloudflare fronts the existing Render origin. Prefer this when the objective is DNS/WAF/CDN while preserving container execution.</w:t>
      </w:r>
    </w:p>
    <w:p>
      <w:pPr>
        <w:spacing w:after="80" w:line="300" w:lineRule="auto"/>
        <w:ind w:left="540" w:hanging="271"/>
        <w:numPr>
          <w:ilvl w:val="0"/>
          <w:numId w:val="15"/>
        </w:numPr>
      </w:pPr>
      <w:r>
        <w:rPr>
          <w:rFonts w:ascii="Calibri" w:hAnsi="Calibri"/>
          <w:color w:val="1F1D1A"/>
          <w:sz w:val="22"/>
        </w:rPr>
        <w:t>Full Workers: OpenNext runs all application routes on Cloudflare Workers. Select only if every resource-heavy workflow passes.</w:t>
      </w:r>
    </w:p>
    <w:p>
      <w:pPr>
        <w:spacing w:after="80" w:line="300" w:lineRule="auto"/>
        <w:ind w:left="540" w:hanging="271"/>
        <w:numPr>
          <w:ilvl w:val="0"/>
          <w:numId w:val="15"/>
        </w:numPr>
      </w:pPr>
      <w:r>
        <w:rPr>
          <w:rFonts w:ascii="Calibri" w:hAnsi="Calibri"/>
          <w:color w:val="1F1D1A"/>
          <w:sz w:val="22"/>
        </w:rPr>
        <w:t>Hybrid: light pages/APIs run on Workers while heavy PDF, document/AI or scheduled work remains on container compute. Select only with a clear routing, authentication and ownership model.</w:t>
      </w:r>
    </w:p>
    <w:p>
      <w:pPr>
        <w:keepNext w:val="0"/>
        <w:keepLines/>
        <w:pageBreakBefore w:val="0"/>
        <w:spacing w:before="100" w:after="180" w:line="276" w:lineRule="auto"/>
        <w:ind w:left="173" w:right="115"/>
        <w:shd w:fill="F5F1EB"/>
        <w:pBdr>
          <w:left w:val="single" w:sz="20" w:space="8" w:color="7E3A26"/>
        </w:pBdr>
      </w:pPr>
      <w:r>
        <w:rPr>
          <w:rFonts w:ascii="Calibri" w:hAnsi="Calibri"/>
          <w:b/>
          <w:color w:val="7E3A26"/>
          <w:sz w:val="21"/>
        </w:rPr>
        <w:t xml:space="preserve">ARCHITECTURE NOTE  </w:t>
      </w:r>
      <w:r>
        <w:rPr>
          <w:rFonts w:ascii="Calibri" w:hAnsi="Calibri"/>
          <w:color w:val="1F1D1A"/>
          <w:sz w:val="21"/>
        </w:rPr>
        <w:t>Cloudflare supports Next.js 16 and the major App Router features through @opennextjs/cloudflare. Petrios must use the Node.js runtime with current compatibility settings; Node Middleware remains a platform-specific limitation to re-check before each attempt.</w:t>
      </w:r>
    </w:p>
    <w:p>
      <w:pPr>
        <w:pStyle w:val="Heading2"/>
        <w:keepNext/>
        <w:keepLines w:val="0"/>
        <w:pageBreakBefore w:val="0"/>
      </w:pPr>
      <w:r>
        <w:t>Step 3 — establish measurable acceptance thresholds</w:t>
      </w:r>
    </w:p>
    <w:p>
      <w:pPr>
        <w:spacing w:after="80" w:line="300" w:lineRule="auto"/>
        <w:ind w:left="540" w:hanging="271"/>
        <w:numPr>
          <w:ilvl w:val="0"/>
          <w:numId w:val="16"/>
        </w:numPr>
      </w:pPr>
      <w:r>
        <w:rPr>
          <w:rFonts w:ascii="Calibri" w:hAnsi="Calibri"/>
          <w:color w:val="1F1D1A"/>
          <w:sz w:val="22"/>
        </w:rPr>
        <w:t>Critical end-to-end suite: 100% pass.</w:t>
      </w:r>
    </w:p>
    <w:p>
      <w:pPr>
        <w:spacing w:after="80" w:line="300" w:lineRule="auto"/>
        <w:ind w:left="540" w:hanging="271"/>
        <w:numPr>
          <w:ilvl w:val="0"/>
          <w:numId w:val="16"/>
        </w:numPr>
      </w:pPr>
      <w:r>
        <w:rPr>
          <w:rFonts w:ascii="Calibri" w:hAnsi="Calibri"/>
          <w:color w:val="1F1D1A"/>
          <w:sz w:val="22"/>
        </w:rPr>
        <w:t>Security findings: zero unresolved high or critical findings.</w:t>
      </w:r>
    </w:p>
    <w:p>
      <w:pPr>
        <w:spacing w:after="80" w:line="300" w:lineRule="auto"/>
        <w:ind w:left="540" w:hanging="271"/>
        <w:numPr>
          <w:ilvl w:val="0"/>
          <w:numId w:val="16"/>
        </w:numPr>
      </w:pPr>
      <w:r>
        <w:rPr>
          <w:rFonts w:ascii="Calibri" w:hAnsi="Calibri"/>
          <w:color w:val="1F1D1A"/>
          <w:sz w:val="22"/>
        </w:rPr>
        <w:t>Worker resource terminations: zero during acceptance testing.</w:t>
      </w:r>
    </w:p>
    <w:p>
      <w:pPr>
        <w:spacing w:after="80" w:line="300" w:lineRule="auto"/>
        <w:ind w:left="540" w:hanging="271"/>
        <w:numPr>
          <w:ilvl w:val="0"/>
          <w:numId w:val="16"/>
        </w:numPr>
      </w:pPr>
      <w:r>
        <w:rPr>
          <w:rFonts w:ascii="Calibri" w:hAnsi="Calibri"/>
          <w:color w:val="1F1D1A"/>
          <w:sz w:val="22"/>
        </w:rPr>
        <w:t>Availability/error rate: no material regression from the recorded Render baseline; default rollback threshold is defined in section 11.</w:t>
      </w:r>
    </w:p>
    <w:p>
      <w:pPr>
        <w:spacing w:after="80" w:line="300" w:lineRule="auto"/>
        <w:ind w:left="540" w:hanging="271"/>
        <w:numPr>
          <w:ilvl w:val="0"/>
          <w:numId w:val="16"/>
        </w:numPr>
      </w:pPr>
      <w:r>
        <w:rPr>
          <w:rFonts w:ascii="Calibri" w:hAnsi="Calibri"/>
          <w:color w:val="1F1D1A"/>
          <w:sz w:val="22"/>
        </w:rPr>
        <w:t>Latency: p95 must meet the target recorded in the change ticket or have an approved exception supported by user-impact evidence.</w:t>
      </w:r>
    </w:p>
    <w:p>
      <w:pPr>
        <w:spacing w:after="80" w:line="300" w:lineRule="auto"/>
        <w:ind w:left="540" w:hanging="271"/>
        <w:numPr>
          <w:ilvl w:val="0"/>
          <w:numId w:val="16"/>
        </w:numPr>
      </w:pPr>
      <w:r>
        <w:rPr>
          <w:rFonts w:ascii="Calibri" w:hAnsi="Calibri"/>
          <w:color w:val="1F1D1A"/>
          <w:sz w:val="22"/>
        </w:rPr>
        <w:t>Cost: compare total monthly run rate, observability, build/deploy effort and any enterprise data-localization requirement—not only request charges.</w:t>
      </w:r>
    </w:p>
    <w:p>
      <w:pPr>
        <w:pStyle w:val="Heading1"/>
        <w:keepNext/>
        <w:keepLines w:val="0"/>
        <w:pageBreakBefore w:val="0"/>
      </w:pPr>
      <w:r>
        <w:t>8. Procedure B — build the Cloudflare proof of concept</w:t>
      </w:r>
    </w:p>
    <w:p>
      <w:pPr>
        <w:pStyle w:val="Heading2"/>
        <w:keepNext/>
        <w:keepLines w:val="0"/>
        <w:pageBreakBefore w:val="0"/>
      </w:pPr>
      <w:r>
        <w:t>Step 4 — create an isolated migration branch</w:t>
      </w:r>
    </w:p>
    <w:p>
      <w:pPr>
        <w:spacing w:after="80" w:line="300" w:lineRule="auto"/>
        <w:ind w:left="540" w:hanging="271"/>
        <w:numPr>
          <w:ilvl w:val="0"/>
          <w:numId w:val="17"/>
        </w:numPr>
      </w:pPr>
      <w:r>
        <w:rPr>
          <w:rFonts w:ascii="Calibri" w:hAnsi="Calibri"/>
          <w:color w:val="1F1D1A"/>
          <w:sz w:val="22"/>
        </w:rPr>
        <w:t>Create a dedicated branch and staging Worker. Do not attach the production hostname.</w:t>
      </w:r>
    </w:p>
    <w:p>
      <w:pPr>
        <w:spacing w:after="80" w:line="300" w:lineRule="auto"/>
        <w:ind w:left="540" w:hanging="271"/>
        <w:numPr>
          <w:ilvl w:val="0"/>
          <w:numId w:val="17"/>
        </w:numPr>
      </w:pPr>
      <w:r>
        <w:rPr>
          <w:rFonts w:ascii="Calibri" w:hAnsi="Calibri"/>
          <w:color w:val="1F1D1A"/>
          <w:sz w:val="22"/>
        </w:rPr>
        <w:t>Add the current supported @opennextjs/cloudflare and Wrangler versions; add OpenNext and Worker configuration using the current official guide.</w:t>
      </w:r>
    </w:p>
    <w:p>
      <w:pPr>
        <w:spacing w:after="80" w:line="300" w:lineRule="auto"/>
        <w:ind w:left="540" w:hanging="271"/>
        <w:numPr>
          <w:ilvl w:val="0"/>
          <w:numId w:val="17"/>
        </w:numPr>
      </w:pPr>
      <w:r>
        <w:rPr>
          <w:rFonts w:ascii="Calibri" w:hAnsi="Calibri"/>
          <w:color w:val="1F1D1A"/>
          <w:sz w:val="22"/>
        </w:rPr>
        <w:t>Use a current compatibility date and the documented Node compatibility setting. Do not assume a development emulator proves production compatibility.</w:t>
      </w:r>
    </w:p>
    <w:p>
      <w:pPr>
        <w:spacing w:after="80" w:line="300" w:lineRule="auto"/>
        <w:ind w:left="540" w:hanging="271"/>
        <w:numPr>
          <w:ilvl w:val="0"/>
          <w:numId w:val="17"/>
        </w:numPr>
      </w:pPr>
      <w:r>
        <w:rPr>
          <w:rFonts w:ascii="Calibri" w:hAnsi="Calibri"/>
          <w:color w:val="1F1D1A"/>
          <w:sz w:val="22"/>
        </w:rPr>
        <w:t>Map build-time NEXT_PUBLIC_* variables separately from runtime secrets. Verify that browser bundles contain only intentionally public values.</w:t>
      </w:r>
    </w:p>
    <w:p>
      <w:pPr>
        <w:spacing w:after="80" w:line="300" w:lineRule="auto"/>
        <w:ind w:left="540" w:hanging="271"/>
        <w:numPr>
          <w:ilvl w:val="0"/>
          <w:numId w:val="17"/>
        </w:numPr>
      </w:pPr>
      <w:r>
        <w:rPr>
          <w:rFonts w:ascii="Calibri" w:hAnsi="Calibri"/>
          <w:color w:val="1F1D1A"/>
          <w:sz w:val="22"/>
        </w:rPr>
        <w:t>Enable Worker observability with an approved sampling and retention policy that excludes sensitive request bodies, tokens and email content.</w:t>
      </w:r>
    </w:p>
    <w:p>
      <w:pPr>
        <w:pStyle w:val="Heading2"/>
        <w:keepNext/>
        <w:keepLines w:val="0"/>
        <w:pageBreakBefore w:val="0"/>
      </w:pPr>
      <w:r>
        <w:t>Step 5 — build and inspect</w:t>
      </w:r>
    </w:p>
    <w:p>
      <w:pPr>
        <w:spacing w:after="80" w:line="300" w:lineRule="auto"/>
        <w:ind w:left="540" w:hanging="271"/>
        <w:numPr>
          <w:ilvl w:val="0"/>
          <w:numId w:val="18"/>
        </w:numPr>
      </w:pPr>
      <w:r>
        <w:rPr>
          <w:rFonts w:ascii="Calibri" w:hAnsi="Calibri"/>
          <w:color w:val="1F1D1A"/>
          <w:sz w:val="22"/>
        </w:rPr>
        <w:t>Run s/lint, s/typecheck, s/test and s/build from the repository root.</w:t>
      </w:r>
    </w:p>
    <w:p>
      <w:pPr>
        <w:spacing w:after="80" w:line="300" w:lineRule="auto"/>
        <w:ind w:left="540" w:hanging="271"/>
        <w:numPr>
          <w:ilvl w:val="0"/>
          <w:numId w:val="18"/>
        </w:numPr>
      </w:pPr>
      <w:r>
        <w:rPr>
          <w:rFonts w:ascii="Calibri" w:hAnsi="Calibri"/>
          <w:color w:val="1F1D1A"/>
          <w:sz w:val="22"/>
        </w:rPr>
        <w:t>Run the OpenNext build and record versions, warnings and the compressed Worker size.</w:t>
      </w:r>
    </w:p>
    <w:p>
      <w:pPr>
        <w:spacing w:after="80" w:line="300" w:lineRule="auto"/>
        <w:ind w:left="540" w:hanging="271"/>
        <w:numPr>
          <w:ilvl w:val="0"/>
          <w:numId w:val="18"/>
        </w:numPr>
      </w:pPr>
      <w:r>
        <w:rPr>
          <w:rFonts w:ascii="Calibri" w:hAnsi="Calibri"/>
          <w:color w:val="1F1D1A"/>
          <w:sz w:val="22"/>
        </w:rPr>
        <w:t>Confirm the Worker is within the current plan limit. As of this SOP version, the paid-plan compressed limit is 10 MiB; revalidate against current Cloudflare documentation.</w:t>
      </w:r>
    </w:p>
    <w:p>
      <w:pPr>
        <w:spacing w:after="80" w:line="300" w:lineRule="auto"/>
        <w:ind w:left="540" w:hanging="271"/>
        <w:numPr>
          <w:ilvl w:val="0"/>
          <w:numId w:val="18"/>
        </w:numPr>
      </w:pPr>
      <w:r>
        <w:rPr>
          <w:rFonts w:ascii="Calibri" w:hAnsi="Calibri"/>
          <w:color w:val="1F1D1A"/>
          <w:sz w:val="22"/>
        </w:rPr>
        <w:t>Inspect any compatibility polyfill or stub warning. An import that succeeds but throws when called is a failed test.</w:t>
      </w:r>
    </w:p>
    <w:p>
      <w:pPr>
        <w:spacing w:after="80" w:line="300" w:lineRule="auto"/>
        <w:ind w:left="540" w:hanging="271"/>
        <w:numPr>
          <w:ilvl w:val="0"/>
          <w:numId w:val="18"/>
        </w:numPr>
      </w:pPr>
      <w:r>
        <w:rPr>
          <w:rFonts w:ascii="Calibri" w:hAnsi="Calibri"/>
          <w:color w:val="1F1D1A"/>
          <w:sz w:val="22"/>
        </w:rPr>
        <w:t>Deploy the exact reviewed commit to the staging Worker and record its version identifier.</w:t>
      </w:r>
    </w:p>
    <w:p>
      <w:pPr>
        <w:keepNext w:val="0"/>
        <w:keepLines/>
        <w:pageBreakBefore w:val="0"/>
        <w:spacing w:before="100" w:after="180" w:line="276" w:lineRule="auto"/>
        <w:ind w:left="173" w:right="115"/>
        <w:shd w:fill="FFF4DA"/>
        <w:pBdr>
          <w:left w:val="single" w:sz="20" w:space="8" w:color="8A5A00"/>
        </w:pBdr>
      </w:pPr>
      <w:r>
        <w:rPr>
          <w:rFonts w:ascii="Calibri" w:hAnsi="Calibri"/>
          <w:b/>
          <w:color w:val="8A5A00"/>
          <w:sz w:val="21"/>
        </w:rPr>
        <w:t xml:space="preserve">FREE-TIER WARNING  </w:t>
      </w:r>
      <w:r>
        <w:rPr>
          <w:rFonts w:ascii="Calibri" w:hAnsi="Calibri"/>
          <w:color w:val="1F1D1A"/>
          <w:sz w:val="21"/>
        </w:rPr>
        <w:t>Do not validate production suitability on the Workers free tier. Its HTTP CPU allowance is too small for representative authenticated SSR and Petrios also has six scheduler families. Use the intended paid/enterprise configuration for acceptance testing.</w:t>
      </w:r>
    </w:p>
    <w:p>
      <w:pPr>
        <w:pStyle w:val="Heading1"/>
        <w:keepNext/>
        <w:keepLines w:val="0"/>
        <w:pageBreakBefore w:val="0"/>
      </w:pPr>
      <w:r>
        <w:t>9. Procedure C — functional, resource and failure testing</w:t>
      </w:r>
    </w:p>
    <w:p>
      <w:pPr>
        <w:pStyle w:val="Heading2"/>
        <w:keepNext/>
        <w:keepLines w:val="0"/>
        <w:pageBreakBefore w:val="0"/>
      </w:pPr>
      <w:r>
        <w:t>Step 6 — execute the critical-journey matrix</w:t>
      </w:r>
    </w:p>
    <w:tbl>
      <w:tblPr>
        <w:tblStyle w:val="TableGrid"/>
        <w:tblW w:type="dxa" w:w="9360"/>
        <w:jc w:val="left"/>
        <w:tblLayout w:type="fixed"/>
        <w:tblLook w:firstColumn="1" w:firstRow="1" w:lastColumn="0" w:lastRow="0" w:noHBand="0" w:noVBand="1" w:val="04A0"/>
        <w:tblInd w:w="120" w:type="dxa"/>
      </w:tblPr>
      <w:tblGrid>
        <w:gridCol w:w="1750"/>
        <w:gridCol w:w="4000"/>
        <w:gridCol w:w="3610"/>
      </w:tblGrid>
      <w:tr>
        <w:trPr>
          <w:cantSplit/>
          <w:tblHeader w:val="true"/>
        </w:trPr>
        <w:tc>
          <w:tcPr>
            <w:tcW w:type="dxa" w:w="175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Test family</w:t>
            </w:r>
          </w:p>
        </w:tc>
        <w:tc>
          <w:tcPr>
            <w:tcW w:type="dxa" w:w="40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Minimum scenario</w:t>
            </w:r>
          </w:p>
        </w:tc>
        <w:tc>
          <w:tcPr>
            <w:tcW w:type="dxa" w:w="361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Pass condition</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Authentication</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Magic link, password admin, Microsoft Entra callback, sign-out and expired session.</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Correct identity, cookie and redirect behaviour; no cross-tenant access.</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Authorization</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Each role exercises allowed and denied actions across two organisations.</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UI, server action, route and RLS boundaries agree.</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Documents</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Upload PDF/DOCX/PPTX at normal size and exactly 25 MiB; view, download, archive and delete.</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No corruption, timeout or resource termination; object and metadata states agree.</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AI / Recall</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Generate from source sets near 50 MiB; synthesize speech; approve, publish, play and complete 5/5 flow.</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Provenance, approval gates and catch-up award semantics are unchanged.</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PDFs</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Generate certificate, audit report, portfolio pack and teaching dossier using representative large data.</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Documents render correctly and stay within resource limits.</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Email</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Resend path and, if supported, configured SMTP path; include PDF attachments and partial failure.</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Provider IDs, delivery ledgers and retry behaviour are preserved.</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Scheduled jobs</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Run all six routes once, then repeat against unchanged data.</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Authentication works; repeats are idempotent; no duplicate user-facing side effect.</w:t>
            </w:r>
          </w:p>
        </w:tc>
      </w:tr>
      <w:tr>
        <w:trPr>
          <w:cantSplit/>
        </w:trPr>
        <w:tc>
          <w:tcPr>
            <w:tcW w:type="dxa" w:w="175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Public/API</w:t>
            </w:r>
          </w:p>
        </w:tc>
        <w:tc>
          <w:tcPr>
            <w:tcW w:type="dxa" w:w="4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Health, privacy pages, verification, RSVP/claim, ICS, /api/v1 scopes and signed webhooks.</w:t>
            </w:r>
          </w:p>
        </w:tc>
        <w:tc>
          <w:tcPr>
            <w:tcW w:type="dxa" w:w="361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Published contracts and security headers remain correct.</w:t>
            </w:r>
          </w:p>
        </w:tc>
      </w:tr>
    </w:tbl>
    <w:p>
      <w:pPr>
        <w:pStyle w:val="Heading2"/>
        <w:keepNext/>
        <w:keepLines w:val="0"/>
        <w:pageBreakBefore w:val="0"/>
      </w:pPr>
      <w:r>
        <w:t>Step 7 — exercise worst-case resources</w:t>
      </w:r>
    </w:p>
    <w:p>
      <w:pPr>
        <w:spacing w:after="80" w:line="300" w:lineRule="auto"/>
        <w:ind w:left="540" w:hanging="271"/>
        <w:numPr>
          <w:ilvl w:val="0"/>
          <w:numId w:val="19"/>
        </w:numPr>
      </w:pPr>
      <w:r>
        <w:rPr>
          <w:rFonts w:ascii="Calibri" w:hAnsi="Calibri"/>
          <w:color w:val="1F1D1A"/>
          <w:sz w:val="22"/>
        </w:rPr>
        <w:t>Upload and validate a 25 MiB PDF, DOCX and PPTX separately. Confirm memory, CPU, duration and Supabase object state.</w:t>
      </w:r>
    </w:p>
    <w:p>
      <w:pPr>
        <w:spacing w:after="80" w:line="300" w:lineRule="auto"/>
        <w:ind w:left="540" w:hanging="271"/>
        <w:numPr>
          <w:ilvl w:val="0"/>
          <w:numId w:val="19"/>
        </w:numPr>
      </w:pPr>
      <w:r>
        <w:rPr>
          <w:rFonts w:ascii="Calibri" w:hAnsi="Calibri"/>
          <w:color w:val="1F1D1A"/>
          <w:sz w:val="22"/>
        </w:rPr>
        <w:t>Generate Audio Recap and newsletter inputs with combined source bytes close to 50 MiB. Observe raw-byte buffering, base64 expansion and JSON serialization.</w:t>
      </w:r>
    </w:p>
    <w:p>
      <w:pPr>
        <w:spacing w:after="80" w:line="300" w:lineRule="auto"/>
        <w:ind w:left="540" w:hanging="271"/>
        <w:numPr>
          <w:ilvl w:val="0"/>
          <w:numId w:val="19"/>
        </w:numPr>
      </w:pPr>
      <w:r>
        <w:rPr>
          <w:rFonts w:ascii="Calibri" w:hAnsi="Calibri"/>
          <w:color w:val="1F1D1A"/>
          <w:sz w:val="22"/>
        </w:rPr>
        <w:t>Generate at least ten representative PDFs, including a multi-page portfolio and dossier; run two PDF requests concurrently.</w:t>
      </w:r>
    </w:p>
    <w:p>
      <w:pPr>
        <w:spacing w:after="80" w:line="300" w:lineRule="auto"/>
        <w:ind w:left="540" w:hanging="271"/>
        <w:numPr>
          <w:ilvl w:val="0"/>
          <w:numId w:val="19"/>
        </w:numPr>
      </w:pPr>
      <w:r>
        <w:rPr>
          <w:rFonts w:ascii="Calibri" w:hAnsi="Calibri"/>
          <w:color w:val="1F1D1A"/>
          <w:sz w:val="22"/>
        </w:rPr>
        <w:t>Run a 30-minute representative load at twice the measured production peak while exercising authenticated SSR and common mutations.</w:t>
      </w:r>
    </w:p>
    <w:p>
      <w:pPr>
        <w:spacing w:after="80" w:line="300" w:lineRule="auto"/>
        <w:ind w:left="540" w:hanging="271"/>
        <w:numPr>
          <w:ilvl w:val="0"/>
          <w:numId w:val="19"/>
        </w:numPr>
      </w:pPr>
      <w:r>
        <w:rPr>
          <w:rFonts w:ascii="Calibri" w:hAnsi="Calibri"/>
          <w:color w:val="1F1D1A"/>
          <w:sz w:val="22"/>
        </w:rPr>
        <w:t>Test slow and failed Supabase, email, AI/TTS and webhook responses. Verify documented retries, watermarks, claimed delivery and fire-and-forget semantics.</w:t>
      </w:r>
    </w:p>
    <w:p>
      <w:pPr>
        <w:spacing w:after="80" w:line="300" w:lineRule="auto"/>
        <w:ind w:left="540" w:hanging="271"/>
        <w:numPr>
          <w:ilvl w:val="0"/>
          <w:numId w:val="19"/>
        </w:numPr>
      </w:pPr>
      <w:r>
        <w:rPr>
          <w:rFonts w:ascii="Calibri" w:hAnsi="Calibri"/>
          <w:color w:val="1F1D1A"/>
          <w:sz w:val="22"/>
        </w:rPr>
        <w:t>Review Worker logs for exceededMemory, exceededCpu, unhandled exception, stalled subrequest, timeout and accidental PII/secret output.</w:t>
      </w:r>
    </w:p>
    <w:p>
      <w:pPr>
        <w:keepNext w:val="0"/>
        <w:keepLines/>
        <w:pageBreakBefore w:val="0"/>
        <w:spacing w:before="100" w:after="180" w:line="276" w:lineRule="auto"/>
        <w:ind w:left="173" w:right="115"/>
        <w:shd w:fill="FCEDED"/>
        <w:pBdr>
          <w:left w:val="single" w:sz="20" w:space="8" w:color="9B1C1C"/>
        </w:pBdr>
      </w:pPr>
      <w:r>
        <w:rPr>
          <w:rFonts w:ascii="Calibri" w:hAnsi="Calibri"/>
          <w:b/>
          <w:color w:val="9B1C1C"/>
          <w:sz w:val="21"/>
        </w:rPr>
        <w:t xml:space="preserve">RESOURCE RISK  </w:t>
      </w:r>
      <w:r>
        <w:rPr>
          <w:rFonts w:ascii="Calibri" w:hAnsi="Calibri"/>
          <w:color w:val="1F1D1A"/>
          <w:sz w:val="21"/>
        </w:rPr>
        <w:t>Workers provide 128 MB per isolate, including JavaScript heap and WebAssembly allocations. Petrios can hold up to 50 MiB of raw source documents and then create roughly 67 MiB of base64 text before JSON and runtime overhead. Treat this as a likely blocker until production-runtime evidence proves otherwise.</w:t>
      </w:r>
    </w:p>
    <w:p>
      <w:pPr>
        <w:pStyle w:val="Heading2"/>
        <w:keepNext/>
        <w:keepLines w:val="0"/>
        <w:pageBreakBefore w:val="0"/>
      </w:pPr>
      <w:r>
        <w:t>Step 8 — test scheduled work and concurrency</w:t>
      </w:r>
    </w:p>
    <w:p>
      <w:pPr>
        <w:spacing w:after="80" w:line="300" w:lineRule="auto"/>
        <w:ind w:left="540" w:hanging="271"/>
        <w:numPr>
          <w:ilvl w:val="0"/>
          <w:numId w:val="20"/>
        </w:numPr>
      </w:pPr>
      <w:r>
        <w:rPr>
          <w:rFonts w:ascii="Calibri" w:hAnsi="Calibri"/>
          <w:color w:val="1F1D1A"/>
          <w:sz w:val="22"/>
        </w:rPr>
        <w:t>Configure staging-only schedules or invoke the authenticated routes manually using a staging CRON_SECRET.</w:t>
      </w:r>
    </w:p>
    <w:p>
      <w:pPr>
        <w:spacing w:after="80" w:line="300" w:lineRule="auto"/>
        <w:ind w:left="540" w:hanging="271"/>
        <w:numPr>
          <w:ilvl w:val="0"/>
          <w:numId w:val="20"/>
        </w:numPr>
      </w:pPr>
      <w:r>
        <w:rPr>
          <w:rFonts w:ascii="Calibri" w:hAnsi="Calibri"/>
          <w:color w:val="1F1D1A"/>
          <w:sz w:val="22"/>
        </w:rPr>
        <w:t>Run session-reminders, post-session-reports, recall-send, recall-awards, ops-synthesis and ops-weekly against seeded eligible records.</w:t>
      </w:r>
    </w:p>
    <w:p>
      <w:pPr>
        <w:spacing w:after="80" w:line="300" w:lineRule="auto"/>
        <w:ind w:left="540" w:hanging="271"/>
        <w:numPr>
          <w:ilvl w:val="0"/>
          <w:numId w:val="20"/>
        </w:numPr>
      </w:pPr>
      <w:r>
        <w:rPr>
          <w:rFonts w:ascii="Calibri" w:hAnsi="Calibri"/>
          <w:color w:val="1F1D1A"/>
          <w:sz w:val="22"/>
        </w:rPr>
        <w:t>Repeat every job against unchanged state and prove that no duplicate certificate, email, recognition event or notification is produced.</w:t>
      </w:r>
    </w:p>
    <w:p>
      <w:pPr>
        <w:spacing w:after="80" w:line="300" w:lineRule="auto"/>
        <w:ind w:left="540" w:hanging="271"/>
        <w:numPr>
          <w:ilvl w:val="0"/>
          <w:numId w:val="20"/>
        </w:numPr>
      </w:pPr>
      <w:r>
        <w:rPr>
          <w:rFonts w:ascii="Calibri" w:hAnsi="Calibri"/>
          <w:color w:val="1F1D1A"/>
          <w:sz w:val="22"/>
        </w:rPr>
        <w:t>Simulate a scheduler overlap and rollback. Ensure only one platform is invoking production routes at any time during cutover.</w:t>
      </w:r>
    </w:p>
    <w:p>
      <w:pPr>
        <w:spacing w:after="80" w:line="300" w:lineRule="auto"/>
        <w:ind w:left="540" w:hanging="271"/>
        <w:numPr>
          <w:ilvl w:val="0"/>
          <w:numId w:val="20"/>
        </w:numPr>
      </w:pPr>
      <w:r>
        <w:rPr>
          <w:rFonts w:ascii="Calibri" w:hAnsi="Calibri"/>
          <w:color w:val="1F1D1A"/>
          <w:sz w:val="22"/>
        </w:rPr>
        <w:t>Record CPU/wall duration and batch size; do not hide failures by reducing the test below representative production work.</w:t>
      </w:r>
    </w:p>
    <w:p>
      <w:pPr>
        <w:pStyle w:val="Heading1"/>
        <w:keepNext/>
        <w:keepLines w:val="0"/>
        <w:pageBreakBefore w:val="0"/>
      </w:pPr>
      <w:r>
        <w:t>10. Procedure D — security, privacy and operational readiness</w:t>
      </w:r>
    </w:p>
    <w:p>
      <w:pPr>
        <w:pStyle w:val="Heading2"/>
        <w:keepNext/>
        <w:keepLines w:val="0"/>
        <w:pageBreakBefore w:val="0"/>
      </w:pPr>
      <w:r>
        <w:t>Step 9 — security review</w:t>
      </w:r>
    </w:p>
    <w:p>
      <w:pPr>
        <w:spacing w:after="80" w:line="300" w:lineRule="auto"/>
        <w:ind w:left="540" w:hanging="271"/>
        <w:numPr>
          <w:ilvl w:val="0"/>
          <w:numId w:val="21"/>
        </w:numPr>
      </w:pPr>
      <w:r>
        <w:rPr>
          <w:rFonts w:ascii="Calibri" w:hAnsi="Calibri"/>
          <w:color w:val="1F1D1A"/>
          <w:sz w:val="22"/>
        </w:rPr>
        <w:t>Verify server-only variables are stored as secrets and never appear in build artifacts, preview output, logs or client JavaScript.</w:t>
      </w:r>
    </w:p>
    <w:p>
      <w:pPr>
        <w:spacing w:after="80" w:line="300" w:lineRule="auto"/>
        <w:ind w:left="540" w:hanging="271"/>
        <w:numPr>
          <w:ilvl w:val="0"/>
          <w:numId w:val="21"/>
        </w:numPr>
      </w:pPr>
      <w:r>
        <w:rPr>
          <w:rFonts w:ascii="Calibri" w:hAnsi="Calibri"/>
          <w:color w:val="1F1D1A"/>
          <w:sz w:val="22"/>
        </w:rPr>
        <w:t>Re-run public security-header checks, including CSP, HSTS, frame, referrer and permissions policies.</w:t>
      </w:r>
    </w:p>
    <w:p>
      <w:pPr>
        <w:spacing w:after="80" w:line="300" w:lineRule="auto"/>
        <w:ind w:left="540" w:hanging="271"/>
        <w:numPr>
          <w:ilvl w:val="0"/>
          <w:numId w:val="21"/>
        </w:numPr>
      </w:pPr>
      <w:r>
        <w:rPr>
          <w:rFonts w:ascii="Calibri" w:hAnsi="Calibri"/>
          <w:color w:val="1F1D1A"/>
          <w:sz w:val="22"/>
        </w:rPr>
        <w:t>Define cache bypass for authenticated, personalized, token-bearing, verification-sensitive and private-file responses. Test for cross-user cache leakage.</w:t>
      </w:r>
    </w:p>
    <w:p>
      <w:pPr>
        <w:spacing w:after="80" w:line="300" w:lineRule="auto"/>
        <w:ind w:left="540" w:hanging="271"/>
        <w:numPr>
          <w:ilvl w:val="0"/>
          <w:numId w:val="21"/>
        </w:numPr>
      </w:pPr>
      <w:r>
        <w:rPr>
          <w:rFonts w:ascii="Calibri" w:hAnsi="Calibri"/>
          <w:color w:val="1F1D1A"/>
          <w:sz w:val="22"/>
        </w:rPr>
        <w:t>Confirm WAF/body-size rules allow the documented 26 MiB Server Action envelope without weakening unrelated endpoints.</w:t>
      </w:r>
    </w:p>
    <w:p>
      <w:pPr>
        <w:spacing w:after="80" w:line="300" w:lineRule="auto"/>
        <w:ind w:left="540" w:hanging="271"/>
        <w:numPr>
          <w:ilvl w:val="0"/>
          <w:numId w:val="21"/>
        </w:numPr>
      </w:pPr>
      <w:r>
        <w:rPr>
          <w:rFonts w:ascii="Calibri" w:hAnsi="Calibri"/>
          <w:color w:val="1F1D1A"/>
          <w:sz w:val="22"/>
        </w:rPr>
        <w:t>Review webhook egress and the existing SSRF limitations; do not claim that the hosting change closes application-level gaps without evidence.</w:t>
      </w:r>
    </w:p>
    <w:p>
      <w:pPr>
        <w:spacing w:after="80" w:line="300" w:lineRule="auto"/>
        <w:ind w:left="540" w:hanging="271"/>
        <w:numPr>
          <w:ilvl w:val="0"/>
          <w:numId w:val="21"/>
        </w:numPr>
      </w:pPr>
      <w:r>
        <w:rPr>
          <w:rFonts w:ascii="Calibri" w:hAnsi="Calibri"/>
          <w:color w:val="1F1D1A"/>
          <w:sz w:val="22"/>
        </w:rPr>
        <w:t>Run dependency, secret and vulnerability checks and attach results to the change record.</w:t>
      </w:r>
    </w:p>
    <w:p>
      <w:pPr>
        <w:pStyle w:val="Heading2"/>
        <w:keepNext/>
        <w:keepLines w:val="0"/>
        <w:pageBreakBefore w:val="0"/>
      </w:pPr>
      <w:r>
        <w:t>Step 10 — information-governance review</w:t>
      </w:r>
    </w:p>
    <w:p>
      <w:pPr>
        <w:spacing w:after="80" w:line="300" w:lineRule="auto"/>
        <w:ind w:left="540" w:hanging="271"/>
        <w:numPr>
          <w:ilvl w:val="0"/>
          <w:numId w:val="22"/>
        </w:numPr>
      </w:pPr>
      <w:r>
        <w:rPr>
          <w:rFonts w:ascii="Calibri" w:hAnsi="Calibri"/>
          <w:color w:val="1F1D1A"/>
          <w:sz w:val="22"/>
        </w:rPr>
        <w:t>Identify Cloudflare’s processor/subprocessor role for request content, identifiers, logs, analytics, support and backups.</w:t>
      </w:r>
    </w:p>
    <w:p>
      <w:pPr>
        <w:spacing w:after="80" w:line="300" w:lineRule="auto"/>
        <w:ind w:left="540" w:hanging="271"/>
        <w:numPr>
          <w:ilvl w:val="0"/>
          <w:numId w:val="22"/>
        </w:numPr>
      </w:pPr>
      <w:r>
        <w:rPr>
          <w:rFonts w:ascii="Calibri" w:hAnsi="Calibri"/>
          <w:color w:val="1F1D1A"/>
          <w:sz w:val="22"/>
        </w:rPr>
        <w:t>Review the current DPA, UK transfer mechanism, subprocessor list, staff-access model, retention and deletion commitments.</w:t>
      </w:r>
    </w:p>
    <w:p>
      <w:pPr>
        <w:spacing w:after="80" w:line="300" w:lineRule="auto"/>
        <w:ind w:left="540" w:hanging="271"/>
        <w:numPr>
          <w:ilvl w:val="0"/>
          <w:numId w:val="22"/>
        </w:numPr>
      </w:pPr>
      <w:r>
        <w:rPr>
          <w:rFonts w:ascii="Calibri" w:hAnsi="Calibri"/>
          <w:color w:val="1F1D1A"/>
          <w:sz w:val="22"/>
        </w:rPr>
        <w:t>Record the intended execution region and log/metadata boundary. Default global execution or logging must not be described as UK-only residency.</w:t>
      </w:r>
    </w:p>
    <w:p>
      <w:pPr>
        <w:spacing w:after="80" w:line="300" w:lineRule="auto"/>
        <w:ind w:left="540" w:hanging="271"/>
        <w:numPr>
          <w:ilvl w:val="0"/>
          <w:numId w:val="22"/>
        </w:numPr>
      </w:pPr>
      <w:r>
        <w:rPr>
          <w:rFonts w:ascii="Calibri" w:hAnsi="Calibri"/>
          <w:color w:val="1F1D1A"/>
          <w:sz w:val="22"/>
        </w:rPr>
        <w:t>If Regional Services or Customer Metadata Boundary is required, confirm commercial entitlement and test the exact production custom-domain configuration. Note that Regional Services does not cover every trigger or outgoing subrequest.</w:t>
      </w:r>
    </w:p>
    <w:p>
      <w:pPr>
        <w:spacing w:after="80" w:line="300" w:lineRule="auto"/>
        <w:ind w:left="540" w:hanging="271"/>
        <w:numPr>
          <w:ilvl w:val="0"/>
          <w:numId w:val="22"/>
        </w:numPr>
      </w:pPr>
      <w:r>
        <w:rPr>
          <w:rFonts w:ascii="Calibri" w:hAnsi="Calibri"/>
          <w:color w:val="1F1D1A"/>
          <w:sz w:val="22"/>
        </w:rPr>
        <w:t>Update the DPIA, data map, risk register, subprocessor notice and transfer assessment as required by the controller.</w:t>
      </w:r>
    </w:p>
    <w:p>
      <w:pPr>
        <w:spacing w:after="80" w:line="300" w:lineRule="auto"/>
        <w:ind w:left="540" w:hanging="271"/>
        <w:numPr>
          <w:ilvl w:val="0"/>
          <w:numId w:val="22"/>
        </w:numPr>
      </w:pPr>
      <w:r>
        <w:rPr>
          <w:rFonts w:ascii="Calibri" w:hAnsi="Calibri"/>
          <w:color w:val="1F1D1A"/>
          <w:sz w:val="22"/>
        </w:rPr>
        <w:t>Prepare accurate values/text for DATA_HOSTING_REGION and DATA_TRANSFER_SAFEGUARDS and verify every public compliance page after deployment.</w:t>
      </w:r>
    </w:p>
    <w:p>
      <w:pPr>
        <w:keepNext w:val="0"/>
        <w:keepLines/>
        <w:pageBreakBefore w:val="0"/>
        <w:spacing w:before="100" w:after="180" w:line="276" w:lineRule="auto"/>
        <w:ind w:left="173" w:right="115"/>
        <w:shd w:fill="F5F1EB"/>
        <w:pBdr>
          <w:left w:val="single" w:sz="20" w:space="8" w:color="7E3A26"/>
        </w:pBdr>
      </w:pPr>
      <w:r>
        <w:rPr>
          <w:rFonts w:ascii="Calibri" w:hAnsi="Calibri"/>
          <w:b/>
          <w:color w:val="7E3A26"/>
          <w:sz w:val="21"/>
        </w:rPr>
        <w:t xml:space="preserve">COMPLIANCE LIMIT  </w:t>
      </w:r>
      <w:r>
        <w:rPr>
          <w:rFonts w:ascii="Calibri" w:hAnsi="Calibri"/>
          <w:color w:val="1F1D1A"/>
          <w:sz w:val="21"/>
        </w:rPr>
        <w:t>Cloudflare’s contractual and localization features support an assessment; they do not make the deployment compliant by themselves. Approval belongs to the deploying controller and its governance process.</w:t>
      </w:r>
    </w:p>
    <w:p>
      <w:pPr>
        <w:pStyle w:val="Heading2"/>
        <w:keepNext/>
        <w:keepLines w:val="0"/>
        <w:pageBreakBefore w:val="0"/>
      </w:pPr>
      <w:r>
        <w:t>Step 11 — operational rehearsal</w:t>
      </w:r>
    </w:p>
    <w:p>
      <w:pPr>
        <w:spacing w:after="80" w:line="300" w:lineRule="auto"/>
        <w:ind w:left="540" w:hanging="271"/>
        <w:numPr>
          <w:ilvl w:val="0"/>
          <w:numId w:val="23"/>
        </w:numPr>
      </w:pPr>
      <w:r>
        <w:rPr>
          <w:rFonts w:ascii="Calibri" w:hAnsi="Calibri"/>
          <w:color w:val="1F1D1A"/>
          <w:sz w:val="22"/>
        </w:rPr>
        <w:t>Rehearse deploying and rolling back the exact candidate version without modifying Supabase data.</w:t>
      </w:r>
    </w:p>
    <w:p>
      <w:pPr>
        <w:spacing w:after="80" w:line="300" w:lineRule="auto"/>
        <w:ind w:left="540" w:hanging="271"/>
        <w:numPr>
          <w:ilvl w:val="0"/>
          <w:numId w:val="23"/>
        </w:numPr>
      </w:pPr>
      <w:r>
        <w:rPr>
          <w:rFonts w:ascii="Calibri" w:hAnsi="Calibri"/>
          <w:color w:val="1F1D1A"/>
          <w:sz w:val="22"/>
        </w:rPr>
        <w:t>Time the route/domain switch and prove that the previous Render service is healthy and reachable by the rollback operator.</w:t>
      </w:r>
    </w:p>
    <w:p>
      <w:pPr>
        <w:spacing w:after="80" w:line="300" w:lineRule="auto"/>
        <w:ind w:left="540" w:hanging="271"/>
        <w:numPr>
          <w:ilvl w:val="0"/>
          <w:numId w:val="23"/>
        </w:numPr>
      </w:pPr>
      <w:r>
        <w:rPr>
          <w:rFonts w:ascii="Calibri" w:hAnsi="Calibri"/>
          <w:color w:val="1F1D1A"/>
          <w:sz w:val="22"/>
        </w:rPr>
        <w:t>Confirm alert delivery for health, 5xx, resource limits, authentication failure and missed scheduler execution.</w:t>
      </w:r>
    </w:p>
    <w:p>
      <w:pPr>
        <w:spacing w:after="80" w:line="300" w:lineRule="auto"/>
        <w:ind w:left="540" w:hanging="271"/>
        <w:numPr>
          <w:ilvl w:val="0"/>
          <w:numId w:val="23"/>
        </w:numPr>
      </w:pPr>
      <w:r>
        <w:rPr>
          <w:rFonts w:ascii="Calibri" w:hAnsi="Calibri"/>
          <w:color w:val="1F1D1A"/>
          <w:sz w:val="22"/>
        </w:rPr>
        <w:t>Confirm support cover for the cutover window and the following business day.</w:t>
      </w:r>
    </w:p>
    <w:p>
      <w:pPr>
        <w:spacing w:after="80" w:line="300" w:lineRule="auto"/>
        <w:ind w:left="540" w:hanging="271"/>
        <w:numPr>
          <w:ilvl w:val="0"/>
          <w:numId w:val="23"/>
        </w:numPr>
      </w:pPr>
      <w:r>
        <w:rPr>
          <w:rFonts w:ascii="Calibri" w:hAnsi="Calibri"/>
          <w:color w:val="1F1D1A"/>
          <w:sz w:val="22"/>
        </w:rPr>
        <w:t>Complete the go/no-go record and obtain all approvals before scheduling production work.</w:t>
      </w:r>
    </w:p>
    <w:p>
      <w:r>
        <w:br w:type="page"/>
      </w:r>
    </w:p>
    <w:p>
      <w:pPr>
        <w:pStyle w:val="Heading1"/>
        <w:keepNext/>
        <w:keepLines w:val="0"/>
        <w:pageBreakBefore w:val="0"/>
      </w:pPr>
      <w:r>
        <w:t>11. Procedure E — production cutover</w:t>
      </w:r>
    </w:p>
    <w:p>
      <w:pPr>
        <w:keepNext w:val="0"/>
        <w:keepLines/>
        <w:pageBreakBefore w:val="0"/>
        <w:spacing w:before="100" w:after="180" w:line="276" w:lineRule="auto"/>
        <w:ind w:left="173" w:right="115"/>
        <w:shd w:fill="FFF4DA"/>
        <w:pBdr>
          <w:left w:val="single" w:sz="20" w:space="8" w:color="8A5A00"/>
        </w:pBdr>
      </w:pPr>
      <w:r>
        <w:rPr>
          <w:rFonts w:ascii="Calibri" w:hAnsi="Calibri"/>
          <w:b/>
          <w:color w:val="8A5A00"/>
          <w:sz w:val="21"/>
        </w:rPr>
        <w:t xml:space="preserve">CHANGE CONTROL  </w:t>
      </w:r>
      <w:r>
        <w:rPr>
          <w:rFonts w:ascii="Calibri" w:hAnsi="Calibri"/>
          <w:color w:val="1F1D1A"/>
          <w:sz w:val="21"/>
        </w:rPr>
        <w:t>Do not combine this hosting cutover with schema migrations or product behaviour changes. If the candidate commit requires a database migration, apply the normal migration change procedure separately and prove backward compatibility with both hosts.</w:t>
      </w:r>
    </w:p>
    <w:p>
      <w:pPr>
        <w:pStyle w:val="Heading2"/>
        <w:keepNext/>
        <w:keepLines w:val="0"/>
        <w:pageBreakBefore w:val="0"/>
      </w:pPr>
      <w:r>
        <w:t>T−7 days to T−1 day</w:t>
      </w:r>
    </w:p>
    <w:p>
      <w:pPr>
        <w:spacing w:after="80" w:line="300" w:lineRule="auto"/>
        <w:ind w:left="540" w:hanging="271"/>
        <w:numPr>
          <w:ilvl w:val="0"/>
          <w:numId w:val="24"/>
        </w:numPr>
      </w:pPr>
      <w:r>
        <w:rPr>
          <w:rFonts w:ascii="Calibri" w:hAnsi="Calibri"/>
          <w:color w:val="1F1D1A"/>
          <w:sz w:val="22"/>
        </w:rPr>
        <w:t>Approve the change record, cutover window, rollback owner and user/support communications.</w:t>
      </w:r>
    </w:p>
    <w:p>
      <w:pPr>
        <w:spacing w:after="80" w:line="300" w:lineRule="auto"/>
        <w:ind w:left="540" w:hanging="271"/>
        <w:numPr>
          <w:ilvl w:val="0"/>
          <w:numId w:val="24"/>
        </w:numPr>
      </w:pPr>
      <w:r>
        <w:rPr>
          <w:rFonts w:ascii="Calibri" w:hAnsi="Calibri"/>
          <w:color w:val="1F1D1A"/>
          <w:sz w:val="22"/>
        </w:rPr>
        <w:t>Reduce DNS TTL where applicable, without changing traffic routing. If using Cloudflare-managed routing rather than DNS, document the equivalent propagation and rollback behaviour.</w:t>
      </w:r>
    </w:p>
    <w:p>
      <w:pPr>
        <w:spacing w:after="80" w:line="300" w:lineRule="auto"/>
        <w:ind w:left="540" w:hanging="271"/>
        <w:numPr>
          <w:ilvl w:val="0"/>
          <w:numId w:val="24"/>
        </w:numPr>
      </w:pPr>
      <w:r>
        <w:rPr>
          <w:rFonts w:ascii="Calibri" w:hAnsi="Calibri"/>
          <w:color w:val="1F1D1A"/>
          <w:sz w:val="22"/>
        </w:rPr>
        <w:t>Deploy the approved commit to both Render and the production-configured but non-serving Worker.</w:t>
      </w:r>
    </w:p>
    <w:p>
      <w:pPr>
        <w:spacing w:after="80" w:line="300" w:lineRule="auto"/>
        <w:ind w:left="540" w:hanging="271"/>
        <w:numPr>
          <w:ilvl w:val="0"/>
          <w:numId w:val="24"/>
        </w:numPr>
      </w:pPr>
      <w:r>
        <w:rPr>
          <w:rFonts w:ascii="Calibri" w:hAnsi="Calibri"/>
          <w:color w:val="1F1D1A"/>
          <w:sz w:val="22"/>
        </w:rPr>
        <w:t>Verify environment-variable names and public build-time values independently on both platforms.</w:t>
      </w:r>
    </w:p>
    <w:p>
      <w:pPr>
        <w:spacing w:after="80" w:line="300" w:lineRule="auto"/>
        <w:ind w:left="540" w:hanging="271"/>
        <w:numPr>
          <w:ilvl w:val="0"/>
          <w:numId w:val="24"/>
        </w:numPr>
      </w:pPr>
      <w:r>
        <w:rPr>
          <w:rFonts w:ascii="Calibri" w:hAnsi="Calibri"/>
          <w:color w:val="1F1D1A"/>
          <w:sz w:val="22"/>
        </w:rPr>
        <w:t>Keep Render funded, deployed and healthy for at least seven days after cutover and until every scheduler family has a confirmed successful execution.</w:t>
      </w:r>
    </w:p>
    <w:p>
      <w:pPr>
        <w:pStyle w:val="Heading2"/>
        <w:keepNext/>
        <w:keepLines w:val="0"/>
        <w:pageBreakBefore w:val="0"/>
      </w:pPr>
      <w:r>
        <w:t>T−60 minutes</w:t>
      </w:r>
    </w:p>
    <w:p>
      <w:pPr>
        <w:spacing w:after="80" w:line="300" w:lineRule="auto"/>
        <w:ind w:left="540" w:hanging="271"/>
        <w:numPr>
          <w:ilvl w:val="0"/>
          <w:numId w:val="25"/>
        </w:numPr>
      </w:pPr>
      <w:r>
        <w:rPr>
          <w:rFonts w:ascii="Calibri" w:hAnsi="Calibri"/>
          <w:color w:val="1F1D1A"/>
          <w:sz w:val="22"/>
        </w:rPr>
        <w:t>Freeze application and deployment changes; record the exact commit and Worker version.</w:t>
      </w:r>
    </w:p>
    <w:p>
      <w:pPr>
        <w:spacing w:after="80" w:line="300" w:lineRule="auto"/>
        <w:ind w:left="540" w:hanging="271"/>
        <w:numPr>
          <w:ilvl w:val="0"/>
          <w:numId w:val="25"/>
        </w:numPr>
      </w:pPr>
      <w:r>
        <w:rPr>
          <w:rFonts w:ascii="Calibri" w:hAnsi="Calibri"/>
          <w:color w:val="1F1D1A"/>
          <w:sz w:val="22"/>
        </w:rPr>
        <w:t>Confirm current Supabase backup/PITR status and Render /api/health. Do not perform a restore.</w:t>
      </w:r>
    </w:p>
    <w:p>
      <w:pPr>
        <w:spacing w:after="80" w:line="300" w:lineRule="auto"/>
        <w:ind w:left="540" w:hanging="271"/>
        <w:numPr>
          <w:ilvl w:val="0"/>
          <w:numId w:val="25"/>
        </w:numPr>
      </w:pPr>
      <w:r>
        <w:rPr>
          <w:rFonts w:ascii="Calibri" w:hAnsi="Calibri"/>
          <w:color w:val="1F1D1A"/>
          <w:sz w:val="22"/>
        </w:rPr>
        <w:t>Disable or pause the new Cloudflare schedules so they cannot overlap with the current scheduler during the route switch.</w:t>
      </w:r>
    </w:p>
    <w:p>
      <w:pPr>
        <w:spacing w:after="80" w:line="300" w:lineRule="auto"/>
        <w:ind w:left="540" w:hanging="271"/>
        <w:numPr>
          <w:ilvl w:val="0"/>
          <w:numId w:val="25"/>
        </w:numPr>
      </w:pPr>
      <w:r>
        <w:rPr>
          <w:rFonts w:ascii="Calibri" w:hAnsi="Calibri"/>
          <w:color w:val="1F1D1A"/>
          <w:sz w:val="22"/>
        </w:rPr>
        <w:t>Run final staging smoke tests and check that all approvers and rollback operator are present.</w:t>
      </w:r>
    </w:p>
    <w:p>
      <w:pPr>
        <w:spacing w:after="80" w:line="300" w:lineRule="auto"/>
        <w:ind w:left="540" w:hanging="271"/>
        <w:numPr>
          <w:ilvl w:val="0"/>
          <w:numId w:val="25"/>
        </w:numPr>
      </w:pPr>
      <w:r>
        <w:rPr>
          <w:rFonts w:ascii="Calibri" w:hAnsi="Calibri"/>
          <w:color w:val="1F1D1A"/>
          <w:sz w:val="22"/>
        </w:rPr>
        <w:t>Record the starting metrics and UTC timestamp in the change record.</w:t>
      </w:r>
    </w:p>
    <w:p>
      <w:pPr>
        <w:pStyle w:val="Heading2"/>
        <w:keepNext/>
        <w:keepLines w:val="0"/>
        <w:pageBreakBefore w:val="0"/>
      </w:pPr>
      <w:r>
        <w:t>T0 — switch traffic</w:t>
      </w:r>
    </w:p>
    <w:p>
      <w:pPr>
        <w:spacing w:after="80" w:line="300" w:lineRule="auto"/>
        <w:ind w:left="540" w:hanging="271"/>
        <w:numPr>
          <w:ilvl w:val="0"/>
          <w:numId w:val="26"/>
        </w:numPr>
      </w:pPr>
      <w:r>
        <w:rPr>
          <w:rFonts w:ascii="Calibri" w:hAnsi="Calibri"/>
          <w:color w:val="1F1D1A"/>
          <w:sz w:val="22"/>
        </w:rPr>
        <w:t>Attach or activate the approved production custom domain/route for the Worker. Keep the public application hostname unchanged unless the change record explicitly approves a hostname migration.</w:t>
      </w:r>
    </w:p>
    <w:p>
      <w:pPr>
        <w:spacing w:after="80" w:line="300" w:lineRule="auto"/>
        <w:ind w:left="540" w:hanging="271"/>
        <w:numPr>
          <w:ilvl w:val="0"/>
          <w:numId w:val="26"/>
        </w:numPr>
      </w:pPr>
      <w:r>
        <w:rPr>
          <w:rFonts w:ascii="Calibri" w:hAnsi="Calibri"/>
          <w:color w:val="1F1D1A"/>
          <w:sz w:val="22"/>
        </w:rPr>
        <w:t>Confirm TLS, DNS/routing and the expected Cloudflare version before testing authenticated functionality.</w:t>
      </w:r>
    </w:p>
    <w:p>
      <w:pPr>
        <w:spacing w:after="80" w:line="300" w:lineRule="auto"/>
        <w:ind w:left="540" w:hanging="271"/>
        <w:numPr>
          <w:ilvl w:val="0"/>
          <w:numId w:val="26"/>
        </w:numPr>
      </w:pPr>
      <w:r>
        <w:rPr>
          <w:rFonts w:ascii="Calibri" w:hAnsi="Calibri"/>
          <w:color w:val="1F1D1A"/>
          <w:sz w:val="22"/>
        </w:rPr>
        <w:t>Run smoke tests in this order: health; public page; sign-in; dashboard; cross-tenant denial; session read/write; document download; API token read; privacy/subprocessor pages.</w:t>
      </w:r>
    </w:p>
    <w:p>
      <w:pPr>
        <w:spacing w:after="80" w:line="300" w:lineRule="auto"/>
        <w:ind w:left="540" w:hanging="271"/>
        <w:numPr>
          <w:ilvl w:val="0"/>
          <w:numId w:val="26"/>
        </w:numPr>
      </w:pPr>
      <w:r>
        <w:rPr>
          <w:rFonts w:ascii="Calibri" w:hAnsi="Calibri"/>
          <w:color w:val="1F1D1A"/>
          <w:sz w:val="22"/>
        </w:rPr>
        <w:t>Enable the Cloudflare scheduler set only after confirming the previous scheduler is disabled. Record the exact transition time.</w:t>
      </w:r>
    </w:p>
    <w:p>
      <w:pPr>
        <w:spacing w:after="80" w:line="300" w:lineRule="auto"/>
        <w:ind w:left="540" w:hanging="271"/>
        <w:numPr>
          <w:ilvl w:val="0"/>
          <w:numId w:val="26"/>
        </w:numPr>
      </w:pPr>
      <w:r>
        <w:rPr>
          <w:rFonts w:ascii="Calibri" w:hAnsi="Calibri"/>
          <w:color w:val="1F1D1A"/>
          <w:sz w:val="22"/>
        </w:rPr>
        <w:t>Announce cutover completion to the support channel and begin enhanced monitoring.</w:t>
      </w:r>
    </w:p>
    <w:p>
      <w:pPr>
        <w:pStyle w:val="Heading2"/>
        <w:keepNext/>
        <w:keepLines w:val="0"/>
        <w:pageBreakBefore w:val="0"/>
      </w:pPr>
      <w:r>
        <w:t>T+0 to T+24 hours</w:t>
      </w:r>
    </w:p>
    <w:p>
      <w:pPr>
        <w:spacing w:after="80" w:line="300" w:lineRule="auto"/>
        <w:ind w:left="540" w:hanging="271"/>
        <w:numPr>
          <w:ilvl w:val="0"/>
          <w:numId w:val="27"/>
        </w:numPr>
      </w:pPr>
      <w:r>
        <w:rPr>
          <w:rFonts w:ascii="Calibri" w:hAnsi="Calibri"/>
          <w:color w:val="1F1D1A"/>
          <w:sz w:val="22"/>
        </w:rPr>
        <w:t>Monitor continuously for the first hour, then at least hourly for 24 hours: availability, auth failures, 5xx, Worker resource outcomes, Supabase latency, email delivery and cron freshness.</w:t>
      </w:r>
    </w:p>
    <w:p>
      <w:pPr>
        <w:spacing w:after="80" w:line="300" w:lineRule="auto"/>
        <w:ind w:left="540" w:hanging="271"/>
        <w:numPr>
          <w:ilvl w:val="0"/>
          <w:numId w:val="27"/>
        </w:numPr>
      </w:pPr>
      <w:r>
        <w:rPr>
          <w:rFonts w:ascii="Calibri" w:hAnsi="Calibri"/>
          <w:color w:val="1F1D1A"/>
          <w:sz w:val="22"/>
        </w:rPr>
        <w:t>Perform one controlled document upload, one representative PDF generation and one non-user-impacting API/webhook check.</w:t>
      </w:r>
    </w:p>
    <w:p>
      <w:pPr>
        <w:spacing w:after="80" w:line="300" w:lineRule="auto"/>
        <w:ind w:left="540" w:hanging="271"/>
        <w:numPr>
          <w:ilvl w:val="0"/>
          <w:numId w:val="27"/>
        </w:numPr>
      </w:pPr>
      <w:r>
        <w:rPr>
          <w:rFonts w:ascii="Calibri" w:hAnsi="Calibri"/>
          <w:color w:val="1F1D1A"/>
          <w:sz w:val="22"/>
        </w:rPr>
        <w:t>Verify public compliance pages and record screenshots showing the correct hosting/region/transfer disclosure.</w:t>
      </w:r>
    </w:p>
    <w:p>
      <w:pPr>
        <w:spacing w:after="80" w:line="300" w:lineRule="auto"/>
        <w:ind w:left="540" w:hanging="271"/>
        <w:numPr>
          <w:ilvl w:val="0"/>
          <w:numId w:val="27"/>
        </w:numPr>
      </w:pPr>
      <w:r>
        <w:rPr>
          <w:rFonts w:ascii="Calibri" w:hAnsi="Calibri"/>
          <w:color w:val="1F1D1A"/>
          <w:sz w:val="22"/>
        </w:rPr>
        <w:t>Review logs for personal data or secrets and correct retention/sampling issues immediately.</w:t>
      </w:r>
    </w:p>
    <w:p>
      <w:pPr>
        <w:spacing w:after="80" w:line="300" w:lineRule="auto"/>
        <w:ind w:left="540" w:hanging="271"/>
        <w:numPr>
          <w:ilvl w:val="0"/>
          <w:numId w:val="27"/>
        </w:numPr>
      </w:pPr>
      <w:r>
        <w:rPr>
          <w:rFonts w:ascii="Calibri" w:hAnsi="Calibri"/>
          <w:color w:val="1F1D1A"/>
          <w:sz w:val="22"/>
        </w:rPr>
        <w:t>Apply the rollback rules below without waiting for the full observation window when a trigger is met.</w:t>
      </w:r>
    </w:p>
    <w:p>
      <w:pPr>
        <w:pStyle w:val="Heading1"/>
        <w:keepNext/>
        <w:keepLines w:val="0"/>
        <w:pageBreakBefore w:val="0"/>
      </w:pPr>
      <w:r>
        <w:t>12. Rollback</w:t>
      </w:r>
    </w:p>
    <w:tbl>
      <w:tblPr>
        <w:tblStyle w:val="TableGrid"/>
        <w:tblW w:type="dxa" w:w="9360"/>
        <w:jc w:val="left"/>
        <w:tblLayout w:type="fixed"/>
        <w:tblLook w:firstColumn="1" w:firstRow="1" w:lastColumn="0" w:lastRow="0" w:noHBand="0" w:noVBand="1" w:val="04A0"/>
        <w:tblInd w:w="120" w:type="dxa"/>
      </w:tblPr>
      <w:tblGrid>
        <w:gridCol w:w="1800"/>
        <w:gridCol w:w="4140"/>
        <w:gridCol w:w="3420"/>
      </w:tblGrid>
      <w:tr>
        <w:trPr>
          <w:cantSplit/>
          <w:tblHeader w:val="true"/>
        </w:trPr>
        <w:tc>
          <w:tcPr>
            <w:tcW w:type="dxa" w:w="1800"/>
            <w:shd w:fill="F1D9D9"/>
            <w:vAlign w:val="center"/>
            <w:tcMar>
              <w:top w:w="80" w:type="dxa"/>
              <w:start w:w="120" w:type="dxa"/>
              <w:bottom w:w="80" w:type="dxa"/>
              <w:end w:w="120" w:type="dxa"/>
            </w:tcMar>
          </w:tcPr>
          <w:p>
            <w:pPr>
              <w:spacing w:before="0" w:after="40" w:line="269" w:lineRule="auto"/>
              <w:jc w:val="left"/>
            </w:pPr>
            <w:r>
              <w:rPr>
                <w:rFonts w:ascii="Calibri" w:hAnsi="Calibri"/>
                <w:b/>
                <w:color w:val="9B1C1C"/>
                <w:sz w:val="17"/>
              </w:rPr>
              <w:t>Trigger</w:t>
            </w:r>
          </w:p>
        </w:tc>
        <w:tc>
          <w:tcPr>
            <w:tcW w:type="dxa" w:w="4140"/>
            <w:shd w:fill="F1D9D9"/>
            <w:vAlign w:val="center"/>
            <w:tcMar>
              <w:top w:w="80" w:type="dxa"/>
              <w:start w:w="120" w:type="dxa"/>
              <w:bottom w:w="80" w:type="dxa"/>
              <w:end w:w="120" w:type="dxa"/>
            </w:tcMar>
          </w:tcPr>
          <w:p>
            <w:pPr>
              <w:spacing w:before="0" w:after="40" w:line="269" w:lineRule="auto"/>
              <w:jc w:val="left"/>
            </w:pPr>
            <w:r>
              <w:rPr>
                <w:rFonts w:ascii="Calibri" w:hAnsi="Calibri"/>
                <w:b/>
                <w:color w:val="9B1C1C"/>
                <w:sz w:val="17"/>
              </w:rPr>
              <w:t>Default threshold</w:t>
            </w:r>
          </w:p>
        </w:tc>
        <w:tc>
          <w:tcPr>
            <w:tcW w:type="dxa" w:w="3420"/>
            <w:shd w:fill="F1D9D9"/>
            <w:vAlign w:val="center"/>
            <w:tcMar>
              <w:top w:w="80" w:type="dxa"/>
              <w:start w:w="120" w:type="dxa"/>
              <w:bottom w:w="80" w:type="dxa"/>
              <w:end w:w="120" w:type="dxa"/>
            </w:tcMar>
          </w:tcPr>
          <w:p>
            <w:pPr>
              <w:spacing w:before="0" w:after="40" w:line="269" w:lineRule="auto"/>
              <w:jc w:val="left"/>
            </w:pPr>
            <w:r>
              <w:rPr>
                <w:rFonts w:ascii="Calibri" w:hAnsi="Calibri"/>
                <w:b/>
                <w:color w:val="9B1C1C"/>
                <w:sz w:val="17"/>
              </w:rPr>
              <w:t>Required action</w:t>
            </w:r>
          </w:p>
        </w:tc>
      </w:tr>
      <w:tr>
        <w:trPr>
          <w:cantSplit/>
        </w:trPr>
        <w:tc>
          <w:tcPr>
            <w:tcW w:type="dxa" w:w="18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Authentication</w:t>
            </w:r>
          </w:p>
        </w:tc>
        <w:tc>
          <w:tcPr>
            <w:tcW w:type="dxa" w:w="41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Two consecutive failures in a critical sign-in method, or any cross-tenant authorization concern.</w:t>
            </w:r>
          </w:p>
        </w:tc>
        <w:tc>
          <w:tcPr>
            <w:tcW w:type="dxa" w:w="342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Stop cutover and roll back immediately.</w:t>
            </w:r>
          </w:p>
        </w:tc>
      </w:tr>
      <w:tr>
        <w:trPr>
          <w:cantSplit/>
        </w:trPr>
        <w:tc>
          <w:tcPr>
            <w:tcW w:type="dxa" w:w="18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Platform limit</w:t>
            </w:r>
          </w:p>
        </w:tc>
        <w:tc>
          <w:tcPr>
            <w:tcW w:type="dxa" w:w="41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Any Worker 1102 memory/CPU termination on a critical workflow.</w:t>
            </w:r>
          </w:p>
        </w:tc>
        <w:tc>
          <w:tcPr>
            <w:tcW w:type="dxa" w:w="342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Roll back; do not increase limits without a new review.</w:t>
            </w:r>
          </w:p>
        </w:tc>
      </w:tr>
      <w:tr>
        <w:trPr>
          <w:cantSplit/>
        </w:trPr>
        <w:tc>
          <w:tcPr>
            <w:tcW w:type="dxa" w:w="18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Availability</w:t>
            </w:r>
          </w:p>
        </w:tc>
        <w:tc>
          <w:tcPr>
            <w:tcW w:type="dxa" w:w="41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More than 1% unexplained 5xx for 10 minutes, or five critical-journey failures at low volume.</w:t>
            </w:r>
          </w:p>
        </w:tc>
        <w:tc>
          <w:tcPr>
            <w:tcW w:type="dxa" w:w="342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Roll back unless incident commander documents a safer immediate fix.</w:t>
            </w:r>
          </w:p>
        </w:tc>
      </w:tr>
      <w:tr>
        <w:trPr>
          <w:cantSplit/>
        </w:trPr>
        <w:tc>
          <w:tcPr>
            <w:tcW w:type="dxa" w:w="18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Data / side effect</w:t>
            </w:r>
          </w:p>
        </w:tc>
        <w:tc>
          <w:tcPr>
            <w:tcW w:type="dxa" w:w="41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Incorrect record mutation, missing file, duplicate email/certificate, or cron overlap.</w:t>
            </w:r>
          </w:p>
        </w:tc>
        <w:tc>
          <w:tcPr>
            <w:tcW w:type="dxa" w:w="342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Disable schedulers, preserve evidence and roll back.</w:t>
            </w:r>
          </w:p>
        </w:tc>
      </w:tr>
      <w:tr>
        <w:trPr>
          <w:cantSplit/>
        </w:trPr>
        <w:tc>
          <w:tcPr>
            <w:tcW w:type="dxa" w:w="18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Security / privacy</w:t>
            </w:r>
          </w:p>
        </w:tc>
        <w:tc>
          <w:tcPr>
            <w:tcW w:type="dxa" w:w="41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Secret exposure, unintended caching/logging of personal data, or unapproved processing location.</w:t>
            </w:r>
          </w:p>
        </w:tc>
        <w:tc>
          <w:tcPr>
            <w:tcW w:type="dxa" w:w="342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Take the affected route offline and roll back.</w:t>
            </w:r>
          </w:p>
        </w:tc>
      </w:tr>
    </w:tbl>
    <w:p>
      <w:pPr>
        <w:pStyle w:val="Heading2"/>
        <w:keepNext/>
        <w:keepLines w:val="0"/>
        <w:pageBreakBefore w:val="0"/>
      </w:pPr>
      <w:r>
        <w:t>Rollback sequence</w:t>
      </w:r>
    </w:p>
    <w:p>
      <w:pPr>
        <w:spacing w:after="80" w:line="300" w:lineRule="auto"/>
        <w:ind w:left="540" w:hanging="271"/>
        <w:numPr>
          <w:ilvl w:val="0"/>
          <w:numId w:val="28"/>
        </w:numPr>
      </w:pPr>
      <w:r>
        <w:rPr>
          <w:rFonts w:ascii="Calibri" w:hAnsi="Calibri"/>
          <w:color w:val="1F1D1A"/>
          <w:sz w:val="22"/>
        </w:rPr>
        <w:t>Declare rollback in the change channel; assign one incident commander and stop unrelated changes.</w:t>
      </w:r>
    </w:p>
    <w:p>
      <w:pPr>
        <w:spacing w:after="80" w:line="300" w:lineRule="auto"/>
        <w:ind w:left="540" w:hanging="271"/>
        <w:numPr>
          <w:ilvl w:val="0"/>
          <w:numId w:val="28"/>
        </w:numPr>
      </w:pPr>
      <w:r>
        <w:rPr>
          <w:rFonts w:ascii="Calibri" w:hAnsi="Calibri"/>
          <w:color w:val="1F1D1A"/>
          <w:sz w:val="22"/>
        </w:rPr>
        <w:t>Disable Cloudflare Cron Triggers or any new scheduler first to prevent duplicate side effects.</w:t>
      </w:r>
    </w:p>
    <w:p>
      <w:pPr>
        <w:spacing w:after="80" w:line="300" w:lineRule="auto"/>
        <w:ind w:left="540" w:hanging="271"/>
        <w:numPr>
          <w:ilvl w:val="0"/>
          <w:numId w:val="28"/>
        </w:numPr>
      </w:pPr>
      <w:r>
        <w:rPr>
          <w:rFonts w:ascii="Calibri" w:hAnsi="Calibri"/>
          <w:color w:val="1F1D1A"/>
          <w:sz w:val="22"/>
        </w:rPr>
        <w:t>Restore the production route/DNS to the known-good Render service. Do not redeploy Render during the traffic switch unless it is unhealthy.</w:t>
      </w:r>
    </w:p>
    <w:p>
      <w:pPr>
        <w:spacing w:after="80" w:line="300" w:lineRule="auto"/>
        <w:ind w:left="540" w:hanging="271"/>
        <w:numPr>
          <w:ilvl w:val="0"/>
          <w:numId w:val="28"/>
        </w:numPr>
      </w:pPr>
      <w:r>
        <w:rPr>
          <w:rFonts w:ascii="Calibri" w:hAnsi="Calibri"/>
          <w:color w:val="1F1D1A"/>
          <w:sz w:val="22"/>
        </w:rPr>
        <w:t>Confirm TLS and /api/health, then test sign-in, dashboard, cross-tenant denial, a read-only session path and one public route.</w:t>
      </w:r>
    </w:p>
    <w:p>
      <w:pPr>
        <w:spacing w:after="80" w:line="300" w:lineRule="auto"/>
        <w:ind w:left="540" w:hanging="271"/>
        <w:numPr>
          <w:ilvl w:val="0"/>
          <w:numId w:val="28"/>
        </w:numPr>
      </w:pPr>
      <w:r>
        <w:rPr>
          <w:rFonts w:ascii="Calibri" w:hAnsi="Calibri"/>
          <w:color w:val="1F1D1A"/>
          <w:sz w:val="22"/>
        </w:rPr>
        <w:t>Confirm the original scheduler is active exactly once. Inspect delivery ledgers/watermarks before manually retrying any job.</w:t>
      </w:r>
    </w:p>
    <w:p>
      <w:pPr>
        <w:spacing w:after="80" w:line="300" w:lineRule="auto"/>
        <w:ind w:left="540" w:hanging="271"/>
        <w:numPr>
          <w:ilvl w:val="0"/>
          <w:numId w:val="28"/>
        </w:numPr>
      </w:pPr>
      <w:r>
        <w:rPr>
          <w:rFonts w:ascii="Calibri" w:hAnsi="Calibri"/>
          <w:color w:val="1F1D1A"/>
          <w:sz w:val="22"/>
        </w:rPr>
        <w:t>Preserve relevant logs, Worker version, timestamps and request IDs while avoiding unnecessary copies of personal data.</w:t>
      </w:r>
    </w:p>
    <w:p>
      <w:pPr>
        <w:spacing w:after="80" w:line="300" w:lineRule="auto"/>
        <w:ind w:left="540" w:hanging="271"/>
        <w:numPr>
          <w:ilvl w:val="0"/>
          <w:numId w:val="28"/>
        </w:numPr>
      </w:pPr>
      <w:r>
        <w:rPr>
          <w:rFonts w:ascii="Calibri" w:hAnsi="Calibri"/>
          <w:color w:val="1F1D1A"/>
          <w:sz w:val="22"/>
        </w:rPr>
        <w:t>Notify stakeholders, open an incident/problem record and record whether any mutation or outbound communication needs reconciliation.</w:t>
      </w:r>
    </w:p>
    <w:p>
      <w:pPr>
        <w:spacing w:after="80" w:line="300" w:lineRule="auto"/>
        <w:ind w:left="540" w:hanging="271"/>
        <w:numPr>
          <w:ilvl w:val="0"/>
          <w:numId w:val="28"/>
        </w:numPr>
      </w:pPr>
      <w:r>
        <w:rPr>
          <w:rFonts w:ascii="Calibri" w:hAnsi="Calibri"/>
          <w:color w:val="1F1D1A"/>
          <w:sz w:val="22"/>
        </w:rPr>
        <w:t>Keep the failed Worker version unavailable to public traffic until root cause and a fresh go/no-go review are complete.</w:t>
      </w:r>
    </w:p>
    <w:p>
      <w:pPr>
        <w:pStyle w:val="Heading1"/>
        <w:keepNext/>
        <w:keepLines w:val="0"/>
        <w:pageBreakBefore w:val="0"/>
      </w:pPr>
      <w:r>
        <w:t>13. Post-cutover acceptance and decommissioning</w:t>
      </w:r>
    </w:p>
    <w:p>
      <w:pPr/>
      <w:r>
        <w:rPr>
          <w:rFonts w:ascii="Calibri" w:hAnsi="Calibri"/>
          <w:color w:val="1F1D1A"/>
          <w:sz w:val="22"/>
        </w:rPr>
        <w:t>The service owner may close the migration only after all exit criteria are met:</w:t>
      </w:r>
    </w:p>
    <w:p>
      <w:pPr>
        <w:spacing w:after="80" w:line="300" w:lineRule="auto"/>
        <w:ind w:left="540" w:hanging="271"/>
        <w:numPr>
          <w:ilvl w:val="0"/>
          <w:numId w:val="29"/>
        </w:numPr>
      </w:pPr>
      <w:r>
        <w:rPr>
          <w:rFonts w:ascii="Calibri" w:hAnsi="Calibri"/>
          <w:color w:val="1F1D1A"/>
          <w:sz w:val="22"/>
        </w:rPr>
        <w:t>Seven consecutive days without an unresolved severity-one/two incident or resource-limit termination.</w:t>
      </w:r>
    </w:p>
    <w:p>
      <w:pPr>
        <w:spacing w:after="80" w:line="300" w:lineRule="auto"/>
        <w:ind w:left="540" w:hanging="271"/>
        <w:numPr>
          <w:ilvl w:val="0"/>
          <w:numId w:val="29"/>
        </w:numPr>
      </w:pPr>
      <w:r>
        <w:rPr>
          <w:rFonts w:ascii="Calibri" w:hAnsi="Calibri"/>
          <w:color w:val="1F1D1A"/>
          <w:sz w:val="22"/>
        </w:rPr>
        <w:t>At least one successful execution of every scheduler family, including a controlled run of any job whose natural schedule falls outside the observation window.</w:t>
      </w:r>
    </w:p>
    <w:p>
      <w:pPr>
        <w:spacing w:after="80" w:line="300" w:lineRule="auto"/>
        <w:ind w:left="540" w:hanging="271"/>
        <w:numPr>
          <w:ilvl w:val="0"/>
          <w:numId w:val="29"/>
        </w:numPr>
      </w:pPr>
      <w:r>
        <w:rPr>
          <w:rFonts w:ascii="Calibri" w:hAnsi="Calibri"/>
          <w:color w:val="1F1D1A"/>
          <w:sz w:val="22"/>
        </w:rPr>
        <w:t>Cost and latency measured against the recorded Render baseline using the same comparison window where practical.</w:t>
      </w:r>
    </w:p>
    <w:p>
      <w:pPr>
        <w:spacing w:after="80" w:line="300" w:lineRule="auto"/>
        <w:ind w:left="540" w:hanging="271"/>
        <w:numPr>
          <w:ilvl w:val="0"/>
          <w:numId w:val="29"/>
        </w:numPr>
      </w:pPr>
      <w:r>
        <w:rPr>
          <w:rFonts w:ascii="Calibri" w:hAnsi="Calibri"/>
          <w:color w:val="1F1D1A"/>
          <w:sz w:val="22"/>
        </w:rPr>
        <w:t>Security and privacy evidence complete; public disclosures accurate; support and incident runbooks updated.</w:t>
      </w:r>
    </w:p>
    <w:p>
      <w:pPr>
        <w:spacing w:after="80" w:line="300" w:lineRule="auto"/>
        <w:ind w:left="540" w:hanging="271"/>
        <w:numPr>
          <w:ilvl w:val="0"/>
          <w:numId w:val="29"/>
        </w:numPr>
      </w:pPr>
      <w:r>
        <w:rPr>
          <w:rFonts w:ascii="Calibri" w:hAnsi="Calibri"/>
          <w:color w:val="1F1D1A"/>
          <w:sz w:val="22"/>
        </w:rPr>
        <w:t>Specifications and deployment documentation updated in the same change wherever behaviour, limits or operational responsibility shifted.</w:t>
      </w:r>
    </w:p>
    <w:p>
      <w:pPr>
        <w:spacing w:after="80" w:line="300" w:lineRule="auto"/>
        <w:ind w:left="540" w:hanging="271"/>
        <w:numPr>
          <w:ilvl w:val="0"/>
          <w:numId w:val="29"/>
        </w:numPr>
      </w:pPr>
      <w:r>
        <w:rPr>
          <w:rFonts w:ascii="Calibri" w:hAnsi="Calibri"/>
          <w:color w:val="1F1D1A"/>
          <w:sz w:val="22"/>
        </w:rPr>
        <w:t>Final architecture decision signed by the service owner, technical lead and IG/DPO.</w:t>
      </w:r>
    </w:p>
    <w:p>
      <w:pPr>
        <w:keepNext w:val="0"/>
        <w:keepLines/>
        <w:pageBreakBefore w:val="0"/>
        <w:spacing w:before="100" w:after="180" w:line="276" w:lineRule="auto"/>
        <w:ind w:left="173" w:right="115"/>
        <w:shd w:fill="FCEDED"/>
        <w:pBdr>
          <w:left w:val="single" w:sz="20" w:space="8" w:color="9B1C1C"/>
        </w:pBdr>
      </w:pPr>
      <w:r>
        <w:rPr>
          <w:rFonts w:ascii="Calibri" w:hAnsi="Calibri"/>
          <w:b/>
          <w:color w:val="9B1C1C"/>
          <w:sz w:val="21"/>
        </w:rPr>
        <w:t xml:space="preserve">DECOMMISSION RULE  </w:t>
      </w:r>
      <w:r>
        <w:rPr>
          <w:rFonts w:ascii="Calibri" w:hAnsi="Calibri"/>
          <w:color w:val="1F1D1A"/>
          <w:sz w:val="21"/>
        </w:rPr>
        <w:t>Do not delete or suspend Render until the seven-day observation period, all scheduler checks and final acceptance are complete. Before decommissioning, export required evidence; then remove Render secrets, scheduler configuration, custom domains and access according to the approved change record.</w:t>
      </w:r>
    </w:p>
    <w:p>
      <w:pPr>
        <w:pStyle w:val="Heading1"/>
        <w:keepNext/>
        <w:keepLines w:val="0"/>
        <w:pageBreakBefore w:val="0"/>
      </w:pPr>
      <w:r>
        <w:t>14. Required records</w:t>
      </w:r>
    </w:p>
    <w:tbl>
      <w:tblPr>
        <w:tblStyle w:val="TableGrid"/>
        <w:tblW w:type="dxa" w:w="9360"/>
        <w:jc w:val="left"/>
        <w:tblLayout w:type="fixed"/>
        <w:tblLook w:firstColumn="1" w:firstRow="1" w:lastColumn="0" w:lastRow="0" w:noHBand="0" w:noVBand="1" w:val="04A0"/>
        <w:tblInd w:w="120" w:type="dxa"/>
      </w:tblPr>
      <w:tblGrid>
        <w:gridCol w:w="1960"/>
        <w:gridCol w:w="2860"/>
        <w:gridCol w:w="1700"/>
        <w:gridCol w:w="2840"/>
      </w:tblGrid>
      <w:tr>
        <w:trPr>
          <w:cantSplit/>
          <w:tblHeader w:val="true"/>
        </w:trPr>
        <w:tc>
          <w:tcPr>
            <w:tcW w:type="dxa" w:w="196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Record</w:t>
            </w:r>
          </w:p>
        </w:tc>
        <w:tc>
          <w:tcPr>
            <w:tcW w:type="dxa" w:w="286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Repository / location</w:t>
            </w:r>
          </w:p>
        </w:tc>
        <w:tc>
          <w:tcPr>
            <w:tcW w:type="dxa" w:w="17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Owner</w:t>
            </w:r>
          </w:p>
        </w:tc>
        <w:tc>
          <w:tcPr>
            <w:tcW w:type="dxa" w:w="284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Retention / note</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Approved change record</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Change-management system</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Change owner</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Retain per organisational policy</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Baseline and load results</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Restricted engineering evidence folder</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Technical lead</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Include raw metrics and exact commit</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Security and privacy approvals</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Governance evidence store</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IG / DPO</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Link DPIA, DPA and transfer decision</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Cutover timeline</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Change record</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Change owner</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UTC timestamps and named operator</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Incident / rollback log</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Incident-management system</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Incident commander</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Preserve logs; avoid copying unnecessary PII</w:t>
            </w:r>
          </w:p>
        </w:tc>
      </w:tr>
      <w:tr>
        <w:trPr>
          <w:cantSplit/>
        </w:trPr>
        <w:tc>
          <w:tcPr>
            <w:tcW w:type="dxa" w:w="1960"/>
            <w:vAlign w:val="center"/>
            <w:tcMar>
              <w:top w:w="80" w:type="dxa"/>
              <w:start w:w="120" w:type="dxa"/>
              <w:bottom w:w="80" w:type="dxa"/>
              <w:end w:w="120" w:type="dxa"/>
            </w:tcMar>
          </w:tcPr>
          <w:p>
            <w:pPr>
              <w:spacing w:before="0" w:after="40" w:line="269" w:lineRule="auto"/>
              <w:jc w:val="left"/>
            </w:pPr>
            <w:r>
              <w:rPr>
                <w:rFonts w:ascii="Calibri" w:hAnsi="Calibri"/>
                <w:b/>
                <w:color w:val="1F1D1A"/>
                <w:sz w:val="16"/>
              </w:rPr>
              <w:t>Final decision</w:t>
            </w:r>
          </w:p>
        </w:tc>
        <w:tc>
          <w:tcPr>
            <w:tcW w:type="dxa" w:w="28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Architecture decision record</w:t>
            </w:r>
          </w:p>
        </w:tc>
        <w:tc>
          <w:tcPr>
            <w:tcW w:type="dxa" w:w="17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Service owner</w:t>
            </w:r>
          </w:p>
        </w:tc>
        <w:tc>
          <w:tcPr>
            <w:tcW w:type="dxa" w:w="284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6"/>
              </w:rPr>
              <w:t>State why Render or Cloudflare was selected</w:t>
            </w:r>
          </w:p>
        </w:tc>
      </w:tr>
    </w:tbl>
    <w:p>
      <w:pPr>
        <w:pStyle w:val="Heading1"/>
        <w:keepNext/>
        <w:keepLines w:val="0"/>
        <w:pageBreakBefore w:val="0"/>
      </w:pPr>
      <w:r>
        <w:t>15. Petrios-specific implementation notes</w:t>
      </w:r>
    </w:p>
    <w:p>
      <w:pPr>
        <w:spacing w:after="80" w:line="300" w:lineRule="auto"/>
        <w:ind w:left="540" w:hanging="271"/>
        <w:numPr>
          <w:ilvl w:val="0"/>
          <w:numId w:val="30"/>
        </w:numPr>
      </w:pPr>
      <w:r>
        <w:rPr>
          <w:rFonts w:ascii="Calibri" w:hAnsi="Calibri"/>
          <w:color w:val="1F1D1A"/>
          <w:sz w:val="22"/>
        </w:rPr>
        <w:t>next.config.js sets the Server Action body limit to 26 MiB and output: standalone for the current Docker deployment.</w:t>
      </w:r>
    </w:p>
    <w:p>
      <w:pPr>
        <w:spacing w:after="80" w:line="300" w:lineRule="auto"/>
        <w:ind w:left="540" w:hanging="271"/>
        <w:numPr>
          <w:ilvl w:val="0"/>
          <w:numId w:val="30"/>
        </w:numPr>
      </w:pPr>
      <w:r>
        <w:rPr>
          <w:rFonts w:ascii="Calibri" w:hAnsi="Calibri"/>
          <w:color w:val="1F1D1A"/>
          <w:sz w:val="22"/>
        </w:rPr>
        <w:t>app/actions/session-documents.ts buffers each uploaded file in memory; lib/session-documents.ts caps it at 25 MiB.</w:t>
      </w:r>
    </w:p>
    <w:p>
      <w:pPr>
        <w:spacing w:after="80" w:line="300" w:lineRule="auto"/>
        <w:ind w:left="540" w:hanging="271"/>
        <w:numPr>
          <w:ilvl w:val="0"/>
          <w:numId w:val="30"/>
        </w:numPr>
      </w:pPr>
      <w:r>
        <w:rPr>
          <w:rFonts w:ascii="Calibri" w:hAnsi="Calibri"/>
          <w:color w:val="1F1D1A"/>
          <w:sz w:val="22"/>
        </w:rPr>
        <w:t>lib/ops/recap-sources.ts loads up to 50 MiB of source documents; lib/ai/llm.ts base64-encodes them into one Responses API JSON body.</w:t>
      </w:r>
    </w:p>
    <w:p>
      <w:pPr>
        <w:spacing w:after="80" w:line="300" w:lineRule="auto"/>
        <w:ind w:left="540" w:hanging="271"/>
        <w:numPr>
          <w:ilvl w:val="0"/>
          <w:numId w:val="30"/>
        </w:numPr>
      </w:pPr>
      <w:r>
        <w:rPr>
          <w:rFonts w:ascii="Calibri" w:hAnsi="Calibri"/>
          <w:color w:val="1F1D1A"/>
          <w:sz w:val="22"/>
        </w:rPr>
        <w:t>lib/certificates/pdf.tsx and lib/portfolio/* use @react-pdf/renderer and filesystem-loaded fonts.</w:t>
      </w:r>
    </w:p>
    <w:p>
      <w:pPr>
        <w:spacing w:after="80" w:line="300" w:lineRule="auto"/>
        <w:ind w:left="540" w:hanging="271"/>
        <w:numPr>
          <w:ilvl w:val="0"/>
          <w:numId w:val="30"/>
        </w:numPr>
      </w:pPr>
      <w:r>
        <w:rPr>
          <w:rFonts w:ascii="Calibri" w:hAnsi="Calibri"/>
          <w:color w:val="1F1D1A"/>
          <w:sz w:val="22"/>
        </w:rPr>
        <w:t>docs/self-hosting.md defines six authenticated scheduled routes. Preserve their idempotency and partial-failure semantics.</w:t>
      </w:r>
    </w:p>
    <w:p>
      <w:pPr>
        <w:spacing w:after="80" w:line="300" w:lineRule="auto"/>
        <w:ind w:left="540" w:hanging="271"/>
        <w:numPr>
          <w:ilvl w:val="0"/>
          <w:numId w:val="30"/>
        </w:numPr>
      </w:pPr>
      <w:r>
        <w:rPr>
          <w:rFonts w:ascii="Calibri" w:hAnsi="Calibri"/>
          <w:color w:val="1F1D1A"/>
          <w:sz w:val="22"/>
        </w:rPr>
        <w:t>lib/compliance.ts currently identifies Render and Vercel explicitly; a Cloudflare deployment otherwise appears as operator-managed. Update the disclosure implementation/specification if the approved wording should name Cloudflare.</w:t>
      </w:r>
    </w:p>
    <w:p>
      <w:pPr>
        <w:pStyle w:val="Heading1"/>
        <w:keepNext/>
        <w:keepLines w:val="0"/>
        <w:pageBreakBefore w:val="0"/>
      </w:pPr>
      <w:r>
        <w:t>16. Authoritative references</w:t>
      </w:r>
    </w:p>
    <w:p>
      <w:pPr>
        <w:spacing w:before="0" w:after="80" w:line="252" w:lineRule="auto"/>
      </w:pPr>
      <w:r>
        <w:rPr>
          <w:rFonts w:ascii="Calibri" w:hAnsi="Calibri"/>
          <w:i/>
          <w:color w:val="6D6759"/>
          <w:sz w:val="17"/>
        </w:rPr>
        <w:t>Platform facts must be revalidated against current primary sources immediately before each migration attempt. External sources below were reviewed on 20 August 2026.</w:t>
      </w:r>
    </w:p>
    <w:p>
      <w:pPr>
        <w:spacing w:after="80"/>
        <w:ind w:left="540" w:hanging="271"/>
        <w:numPr>
          <w:ilvl w:val="0"/>
          <w:numId w:val="31"/>
        </w:numPr>
      </w:pPr>
      <w:hyperlink r:id="rId11">
        <w:r>
          <w:rPr>
            <w:rFonts w:ascii="Calibri" w:hAnsi="Calibri"/>
            <w:color w:val="7E3A26"/>
            <w:u w:val="single"/>
          </w:rPr>
          <w:t>Cloudflare Workers — Next.js deployment guide</w:t>
        </w:r>
      </w:hyperlink>
    </w:p>
    <w:p>
      <w:pPr>
        <w:spacing w:after="80"/>
        <w:ind w:left="540" w:hanging="271"/>
        <w:numPr>
          <w:ilvl w:val="0"/>
          <w:numId w:val="31"/>
        </w:numPr>
      </w:pPr>
      <w:hyperlink r:id="rId12">
        <w:r>
          <w:rPr>
            <w:rFonts w:ascii="Calibri" w:hAnsi="Calibri"/>
            <w:color w:val="7E3A26"/>
            <w:u w:val="single"/>
          </w:rPr>
          <w:t>OpenNext for Cloudflare — supported Next.js versions and features</w:t>
        </w:r>
      </w:hyperlink>
    </w:p>
    <w:p>
      <w:pPr>
        <w:spacing w:after="80"/>
        <w:ind w:left="540" w:hanging="271"/>
        <w:numPr>
          <w:ilvl w:val="0"/>
          <w:numId w:val="31"/>
        </w:numPr>
      </w:pPr>
      <w:hyperlink r:id="rId13">
        <w:r>
          <w:rPr>
            <w:rFonts w:ascii="Calibri" w:hAnsi="Calibri"/>
            <w:color w:val="7E3A26"/>
            <w:u w:val="single"/>
          </w:rPr>
          <w:t>Cloudflare Workers — platform limits</w:t>
        </w:r>
      </w:hyperlink>
    </w:p>
    <w:p>
      <w:pPr>
        <w:spacing w:after="80"/>
        <w:ind w:left="540" w:hanging="271"/>
        <w:numPr>
          <w:ilvl w:val="0"/>
          <w:numId w:val="31"/>
        </w:numPr>
      </w:pPr>
      <w:hyperlink r:id="rId14">
        <w:r>
          <w:rPr>
            <w:rFonts w:ascii="Calibri" w:hAnsi="Calibri"/>
            <w:color w:val="7E3A26"/>
            <w:u w:val="single"/>
          </w:rPr>
          <w:t>Cloudflare Workers — pricing and CPU model</w:t>
        </w:r>
      </w:hyperlink>
    </w:p>
    <w:p>
      <w:pPr>
        <w:spacing w:after="80"/>
        <w:ind w:left="540" w:hanging="271"/>
        <w:numPr>
          <w:ilvl w:val="0"/>
          <w:numId w:val="31"/>
        </w:numPr>
      </w:pPr>
      <w:hyperlink r:id="rId15">
        <w:r>
          <w:rPr>
            <w:rFonts w:ascii="Calibri" w:hAnsi="Calibri"/>
            <w:color w:val="7E3A26"/>
            <w:u w:val="single"/>
          </w:rPr>
          <w:t>Cloudflare Workers — Node.js compatibility</w:t>
        </w:r>
      </w:hyperlink>
    </w:p>
    <w:p>
      <w:pPr>
        <w:spacing w:after="80"/>
        <w:ind w:left="540" w:hanging="271"/>
        <w:numPr>
          <w:ilvl w:val="0"/>
          <w:numId w:val="31"/>
        </w:numPr>
      </w:pPr>
      <w:hyperlink r:id="rId16">
        <w:r>
          <w:rPr>
            <w:rFonts w:ascii="Calibri" w:hAnsi="Calibri"/>
            <w:color w:val="7E3A26"/>
            <w:u w:val="single"/>
          </w:rPr>
          <w:t>Cloudflare Workers — placement</w:t>
        </w:r>
      </w:hyperlink>
    </w:p>
    <w:p>
      <w:pPr>
        <w:spacing w:after="80"/>
        <w:ind w:left="540" w:hanging="271"/>
        <w:numPr>
          <w:ilvl w:val="0"/>
          <w:numId w:val="31"/>
        </w:numPr>
      </w:pPr>
      <w:hyperlink r:id="rId17">
        <w:r>
          <w:rPr>
            <w:rFonts w:ascii="Calibri" w:hAnsi="Calibri"/>
            <w:color w:val="7E3A26"/>
            <w:u w:val="single"/>
          </w:rPr>
          <w:t>Cloudflare Data Localization — Workers</w:t>
        </w:r>
      </w:hyperlink>
    </w:p>
    <w:p>
      <w:pPr>
        <w:spacing w:after="80"/>
        <w:ind w:left="540" w:hanging="271"/>
        <w:numPr>
          <w:ilvl w:val="0"/>
          <w:numId w:val="31"/>
        </w:numPr>
      </w:pPr>
      <w:hyperlink r:id="rId18">
        <w:r>
          <w:rPr>
            <w:rFonts w:ascii="Calibri" w:hAnsi="Calibri"/>
            <w:color w:val="7E3A26"/>
            <w:u w:val="single"/>
          </w:rPr>
          <w:t>Cloudflare — Data Processing Addendum</w:t>
        </w:r>
      </w:hyperlink>
    </w:p>
    <w:p>
      <w:pPr>
        <w:spacing w:after="80"/>
        <w:ind w:left="540" w:hanging="271"/>
        <w:numPr>
          <w:ilvl w:val="0"/>
          <w:numId w:val="31"/>
        </w:numPr>
      </w:pPr>
      <w:hyperlink r:id="rId19">
        <w:r>
          <w:rPr>
            <w:rFonts w:ascii="Calibri" w:hAnsi="Calibri"/>
            <w:color w:val="7E3A26"/>
            <w:u w:val="single"/>
          </w:rPr>
          <w:t>Render — Next.js deployment</w:t>
        </w:r>
      </w:hyperlink>
    </w:p>
    <w:p>
      <w:pPr>
        <w:spacing w:after="80"/>
        <w:ind w:left="540" w:hanging="271"/>
        <w:numPr>
          <w:ilvl w:val="0"/>
          <w:numId w:val="31"/>
        </w:numPr>
      </w:pPr>
      <w:hyperlink r:id="rId20">
        <w:r>
          <w:rPr>
            <w:rFonts w:ascii="Calibri" w:hAnsi="Calibri"/>
            <w:color w:val="7E3A26"/>
            <w:u w:val="single"/>
          </w:rPr>
          <w:t>Render — instance types</w:t>
        </w:r>
      </w:hyperlink>
    </w:p>
    <w:p>
      <w:pPr>
        <w:spacing w:after="80"/>
        <w:ind w:left="540" w:hanging="271"/>
        <w:numPr>
          <w:ilvl w:val="0"/>
          <w:numId w:val="31"/>
        </w:numPr>
      </w:pPr>
      <w:hyperlink r:id="rId21">
        <w:r>
          <w:rPr>
            <w:rFonts w:ascii="Calibri" w:hAnsi="Calibri"/>
            <w:color w:val="7E3A26"/>
            <w:u w:val="single"/>
          </w:rPr>
          <w:t>Render — cron jobs</w:t>
        </w:r>
      </w:hyperlink>
    </w:p>
    <w:p>
      <w:pPr>
        <w:spacing w:after="80"/>
        <w:ind w:left="540" w:hanging="271"/>
        <w:numPr>
          <w:ilvl w:val="0"/>
          <w:numId w:val="31"/>
        </w:numPr>
      </w:pPr>
      <w:hyperlink r:id="rId22">
        <w:r>
          <w:rPr>
            <w:rFonts w:ascii="Calibri" w:hAnsi="Calibri"/>
            <w:color w:val="7E3A26"/>
            <w:u w:val="single"/>
          </w:rPr>
          <w:t>Render — health checks</w:t>
        </w:r>
      </w:hyperlink>
    </w:p>
    <w:p>
      <w:pPr>
        <w:pStyle w:val="Heading1"/>
        <w:keepNext/>
        <w:keepLines w:val="0"/>
        <w:pageBreakBefore w:val="0"/>
      </w:pPr>
      <w:r>
        <w:t>Approval record</w:t>
      </w:r>
    </w:p>
    <w:p>
      <w:pPr/>
      <w:r>
        <w:rPr>
          <w:rFonts w:ascii="Calibri" w:hAnsi="Calibri"/>
          <w:color w:val="1F1D1A"/>
          <w:sz w:val="22"/>
        </w:rPr>
        <w:t>Record approvals in the controlled change-management system. The fields below are a reading aid and are not a substitute for the authoritative electronic record.</w:t>
      </w:r>
    </w:p>
    <w:tbl>
      <w:tblPr>
        <w:tblStyle w:val="TableGrid"/>
        <w:tblW w:type="dxa" w:w="9360"/>
        <w:jc w:val="left"/>
        <w:tblLayout w:type="fixed"/>
        <w:tblLook w:firstColumn="1" w:firstRow="1" w:lastColumn="0" w:lastRow="0" w:noHBand="0" w:noVBand="1" w:val="04A0"/>
        <w:tblInd w:w="120" w:type="dxa"/>
      </w:tblPr>
      <w:tblGrid>
        <w:gridCol w:w="2000"/>
        <w:gridCol w:w="2160"/>
        <w:gridCol w:w="2000"/>
        <w:gridCol w:w="3200"/>
      </w:tblGrid>
      <w:tr>
        <w:trPr>
          <w:cantSplit/>
          <w:tblHeader w:val="true"/>
        </w:trPr>
        <w:tc>
          <w:tcPr>
            <w:tcW w:type="dxa" w:w="20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Role</w:t>
            </w:r>
          </w:p>
        </w:tc>
        <w:tc>
          <w:tcPr>
            <w:tcW w:type="dxa" w:w="216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Name</w:t>
            </w:r>
          </w:p>
        </w:tc>
        <w:tc>
          <w:tcPr>
            <w:tcW w:type="dxa" w:w="20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Decision</w:t>
            </w:r>
          </w:p>
        </w:tc>
        <w:tc>
          <w:tcPr>
            <w:tcW w:type="dxa" w:w="3200"/>
            <w:shd w:fill="E7DDD4"/>
            <w:vAlign w:val="center"/>
            <w:tcMar>
              <w:top w:w="80" w:type="dxa"/>
              <w:start w:w="120" w:type="dxa"/>
              <w:bottom w:w="80" w:type="dxa"/>
              <w:end w:w="120" w:type="dxa"/>
            </w:tcMar>
          </w:tcPr>
          <w:p>
            <w:pPr>
              <w:spacing w:before="0" w:after="40" w:line="269" w:lineRule="auto"/>
              <w:jc w:val="left"/>
            </w:pPr>
            <w:r>
              <w:rPr>
                <w:rFonts w:ascii="Calibri" w:hAnsi="Calibri"/>
                <w:b/>
                <w:color w:val="7E3A26"/>
                <w:sz w:val="17"/>
              </w:rPr>
              <w:t>Date / change-record reference</w:t>
            </w:r>
          </w:p>
        </w:tc>
      </w:tr>
      <w:tr>
        <w:trPr>
          <w:cantSplit/>
        </w:trPr>
        <w:tc>
          <w:tcPr>
            <w:tcW w:type="dxa" w:w="20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Service owner</w:t>
            </w:r>
          </w:p>
        </w:tc>
        <w:tc>
          <w:tcPr>
            <w:tcW w:type="dxa" w:w="21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c>
          <w:tcPr>
            <w:tcW w:type="dxa" w:w="2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Approve / Reject</w:t>
            </w:r>
          </w:p>
        </w:tc>
        <w:tc>
          <w:tcPr>
            <w:tcW w:type="dxa" w:w="32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r>
      <w:tr>
        <w:trPr>
          <w:cantSplit/>
        </w:trPr>
        <w:tc>
          <w:tcPr>
            <w:tcW w:type="dxa" w:w="20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Technical lead</w:t>
            </w:r>
          </w:p>
        </w:tc>
        <w:tc>
          <w:tcPr>
            <w:tcW w:type="dxa" w:w="21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c>
          <w:tcPr>
            <w:tcW w:type="dxa" w:w="2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Approve / Reject</w:t>
            </w:r>
          </w:p>
        </w:tc>
        <w:tc>
          <w:tcPr>
            <w:tcW w:type="dxa" w:w="32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r>
      <w:tr>
        <w:trPr>
          <w:cantSplit/>
        </w:trPr>
        <w:tc>
          <w:tcPr>
            <w:tcW w:type="dxa" w:w="20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Information Governance / DPO</w:t>
            </w:r>
          </w:p>
        </w:tc>
        <w:tc>
          <w:tcPr>
            <w:tcW w:type="dxa" w:w="21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c>
          <w:tcPr>
            <w:tcW w:type="dxa" w:w="2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Approve / Reject</w:t>
            </w:r>
          </w:p>
        </w:tc>
        <w:tc>
          <w:tcPr>
            <w:tcW w:type="dxa" w:w="32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r>
      <w:tr>
        <w:trPr>
          <w:cantSplit/>
        </w:trPr>
        <w:tc>
          <w:tcPr>
            <w:tcW w:type="dxa" w:w="2000"/>
            <w:vAlign w:val="center"/>
            <w:tcMar>
              <w:top w:w="80" w:type="dxa"/>
              <w:start w:w="120" w:type="dxa"/>
              <w:bottom w:w="80" w:type="dxa"/>
              <w:end w:w="120" w:type="dxa"/>
            </w:tcMar>
          </w:tcPr>
          <w:p>
            <w:pPr>
              <w:spacing w:before="0" w:after="40" w:line="269" w:lineRule="auto"/>
              <w:jc w:val="left"/>
            </w:pPr>
            <w:r>
              <w:rPr>
                <w:rFonts w:ascii="Calibri" w:hAnsi="Calibri"/>
                <w:b/>
                <w:color w:val="1F1D1A"/>
                <w:sz w:val="17"/>
              </w:rPr>
              <w:t>Security reviewer</w:t>
            </w:r>
          </w:p>
        </w:tc>
        <w:tc>
          <w:tcPr>
            <w:tcW w:type="dxa" w:w="216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c>
          <w:tcPr>
            <w:tcW w:type="dxa" w:w="20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t>Approve / Reject</w:t>
            </w:r>
          </w:p>
        </w:tc>
        <w:tc>
          <w:tcPr>
            <w:tcW w:type="dxa" w:w="3200"/>
            <w:vAlign w:val="center"/>
            <w:tcMar>
              <w:top w:w="80" w:type="dxa"/>
              <w:start w:w="120" w:type="dxa"/>
              <w:bottom w:w="80" w:type="dxa"/>
              <w:end w:w="120" w:type="dxa"/>
            </w:tcMar>
          </w:tcPr>
          <w:p>
            <w:pPr>
              <w:spacing w:before="0" w:after="40" w:line="269" w:lineRule="auto"/>
              <w:jc w:val="left"/>
            </w:pPr>
            <w:r>
              <w:rPr>
                <w:rFonts w:ascii="Calibri" w:hAnsi="Calibri"/>
                <w:b w:val="0"/>
                <w:color w:val="1F1D1A"/>
                <w:sz w:val="17"/>
              </w:rPr>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D6759"/>
        <w:sz w:val="17"/>
      </w:rPr>
      <w:t xml:space="preserve">PET-OPS-HOST-001  •  INTERNAL  •  </w:t>
    </w:r>
    <w:r>
      <w:rPr>
        <w:rFonts w:ascii="Calibri" w:hAnsi="Calibri"/>
        <w:color w:val="6D6759"/>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D7D0C7"/>
      </w:pBdr>
    </w:pPr>
    <w:r>
      <w:rPr>
        <w:rFonts w:ascii="Calibri" w:hAnsi="Calibri"/>
        <w:b/>
        <w:color w:val="6D6759"/>
        <w:sz w:val="17"/>
      </w:rPr>
      <w:t>PETRIOS  /  PLATFORM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0">
    <w:abstractNumId w:val="9"/>
  </w:num>
  <w:abstractNum w:abstractNumId="10">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1">
    <w:abstractNumId w:val="10"/>
  </w:num>
  <w:abstractNum w:abstractNumId="11">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2">
    <w:abstractNumId w:val="11"/>
  </w:num>
  <w:abstractNum w:abstractNumId="12">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lvl>
  </w:abstractNum>
  <w:num w:numId="14">
    <w:abstractNumId w:val="13"/>
  </w:num>
  <w:abstractNum w:abstractNumId="14">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5">
    <w:abstractNumId w:val="14"/>
  </w:num>
  <w:abstractNum w:abstractNumId="15">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lvl>
  </w:abstractNum>
  <w:num w:numId="20">
    <w:abstractNumId w:val="19"/>
  </w:num>
  <w:abstractNum w:abstractNumId="20">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1">
    <w:abstractNumId w:val="20"/>
  </w:num>
  <w:abstractNum w:abstractNumId="21">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lvl>
  </w:abstractNum>
  <w:num w:numId="23">
    <w:abstractNumId w:val="22"/>
  </w:num>
  <w:abstractNum w:abstractNumId="23">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4">
    <w:abstractNumId w:val="23"/>
  </w:num>
  <w:abstractNum w:abstractNumId="24">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5">
    <w:abstractNumId w:val="24"/>
  </w:num>
  <w:abstractNum w:abstractNumId="25">
    <w:multiLevelType w:val="singleLevel"/>
    <w:lvl w:ilvl="0">
      <w:start w:val="1"/>
      <w:numFmt w:val="decimal"/>
      <w:lvlText w:val="%1."/>
      <w:lvlJc w:val="left"/>
      <w:pPr>
        <w:tabs>
          <w:tab w:val="num" w:pos="540"/>
        </w:tabs>
        <w:ind w:left="540" w:hanging="270"/>
        <w:spacing w:after="80" w:line="300" w:lineRule="auto"/>
      </w:pPr>
    </w:lvl>
  </w:abstractNum>
  <w:num w:numId="26">
    <w:abstractNumId w:val="25"/>
  </w:num>
  <w:abstractNum w:abstractNumId="26">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7">
    <w:abstractNumId w:val="26"/>
  </w:num>
  <w:abstractNum w:abstractNumId="27">
    <w:multiLevelType w:val="singleLevel"/>
    <w:lvl w:ilvl="0">
      <w:start w:val="1"/>
      <w:numFmt w:val="decimal"/>
      <w:lvlText w:val="%1."/>
      <w:lvlJc w:val="left"/>
      <w:pPr>
        <w:tabs>
          <w:tab w:val="num" w:pos="540"/>
        </w:tabs>
        <w:ind w:left="540" w:hanging="270"/>
        <w:spacing w:after="80" w:line="300" w:lineRule="auto"/>
      </w:pPr>
    </w:lvl>
  </w:abstractNum>
  <w:num w:numId="28">
    <w:abstractNumId w:val="27"/>
  </w:num>
  <w:abstractNum w:abstractNumId="28">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29">
    <w:abstractNumId w:val="28"/>
  </w:num>
  <w:abstractNum w:abstractNumId="29">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30">
    <w:abstractNumId w:val="29"/>
  </w:num>
  <w:abstractNum w:abstractNumId="30">
    <w:multiLevelType w:val="singleLevel"/>
    <w:lvl w:ilvl="0">
      <w:start w:val="1"/>
      <w:numFmt w:val="bullet"/>
      <w:lvlText w:val="•"/>
      <w:lvlJc w:val="left"/>
      <w:pPr>
        <w:tabs>
          <w:tab w:val="num" w:pos="540"/>
        </w:tabs>
        <w:ind w:left="540" w:hanging="270"/>
        <w:spacing w:after="80" w:line="300" w:lineRule="auto"/>
      </w:pPr>
      <w:rPr>
        <w:rFonts w:ascii="DejaVu Sans" w:hAnsi="DejaVu Sans"/>
      </w:rPr>
    </w:lvl>
  </w:abstract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1D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i w:val="0"/>
      <w:color w:val="A95134"/>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i w:val="0"/>
      <w:color w:val="7E3A26"/>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i w:val="0"/>
      <w:color w:val="1F1D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Calibri" w:hAnsi="Calibri"/>
      <w:b/>
      <w:i w:val="0"/>
      <w:color w:val="7E3A2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20"/>
    </w:pPr>
    <w:rPr>
      <w:rFonts w:asciiTheme="majorHAnsi" w:eastAsiaTheme="majorEastAsia" w:hAnsiTheme="majorHAnsi" w:cstheme="majorBidi" w:ascii="Calibri" w:hAnsi="Calibri"/>
      <w:b w:val="0"/>
      <w:i w:val="0"/>
      <w:iCs/>
      <w:color w:val="6D675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framework-guides/web-apps/nextjs/" TargetMode="External"/><Relationship Id="rId12" Type="http://schemas.openxmlformats.org/officeDocument/2006/relationships/hyperlink" Target="https://opennext.js.org/cloudflare" TargetMode="External"/><Relationship Id="rId13" Type="http://schemas.openxmlformats.org/officeDocument/2006/relationships/hyperlink" Target="https://developers.cloudflare.com/workers/platform/limits/" TargetMode="External"/><Relationship Id="rId14" Type="http://schemas.openxmlformats.org/officeDocument/2006/relationships/hyperlink" Target="https://developers.cloudflare.com/workers/platform/pricing/" TargetMode="External"/><Relationship Id="rId15" Type="http://schemas.openxmlformats.org/officeDocument/2006/relationships/hyperlink" Target="https://developers.cloudflare.com/workers/runtime-apis/nodejs/" TargetMode="External"/><Relationship Id="rId16" Type="http://schemas.openxmlformats.org/officeDocument/2006/relationships/hyperlink" Target="https://developers.cloudflare.com/workers/configuration/placement/" TargetMode="External"/><Relationship Id="rId17" Type="http://schemas.openxmlformats.org/officeDocument/2006/relationships/hyperlink" Target="https://developers.cloudflare.com/data-localization/how-to/workers/" TargetMode="External"/><Relationship Id="rId18" Type="http://schemas.openxmlformats.org/officeDocument/2006/relationships/hyperlink" Target="https://www.cloudflare.com/en-gb/cloudflare-customer-dpa/" TargetMode="External"/><Relationship Id="rId19" Type="http://schemas.openxmlformats.org/officeDocument/2006/relationships/hyperlink" Target="https://render.com/docs/deploy-nextjs-app" TargetMode="External"/><Relationship Id="rId20" Type="http://schemas.openxmlformats.org/officeDocument/2006/relationships/hyperlink" Target="https://render.com/docs/compute-plans" TargetMode="External"/><Relationship Id="rId21" Type="http://schemas.openxmlformats.org/officeDocument/2006/relationships/hyperlink" Target="https://render.com/docs/cronjobs" TargetMode="External"/><Relationship Id="rId22" Type="http://schemas.openxmlformats.org/officeDocument/2006/relationships/hyperlink" Target="https://render.com/docs/health-che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Petrios Hosting Migration Standard Operating Procedure</dc:title>
  <dc:subject>Evaluation, pilot, cutover and rollback from Render to Cloudflare Workers</dc:subject>
  <dc:creator>Petrios Platform Engineering</dc:creator>
  <cp:keywords>Petrios, SOP, hosting, Render, Cloudflare Workers, OpenNext, migration, rollback</cp:keywords>
  <dc:description>Draft operational document generated from the Petrios repository architecture and current official platform documentation.</dc:description>
  <cp:lastModifiedBy/>
  <cp:revision>1</cp:revision>
  <dcterms:created xsi:type="dcterms:W3CDTF">2013-12-23T23:15:00Z</dcterms:created>
  <dcterms:modified xsi:type="dcterms:W3CDTF">2013-12-23T23:15:00Z</dcterms:modified>
  <cp:category/>
</cp:coreProperties>
</file>