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New Account Onboarding Pack — Meridian Industrial Supply Inc.</w:t>
      </w:r>
    </w:p>
    <w:p>
      <w:pPr>
        <w:spacing w:before="0" w:after="80" w:line="276" w:lineRule="auto"/>
      </w:pPr>
      <w:r>
        <w:rPr>
          <w:b w:val="0"/>
          <w:i w:val="0"/>
          <w:sz w:val="21"/>
        </w:rPr>
        <w:t>Meridian Industrial Supply Inc.</w:t>
      </w:r>
      <w:r>
        <w:br/>
      </w:r>
      <w:r>
        <w:rPr>
          <w:b w:val="0"/>
          <w:i w:val="0"/>
          <w:sz w:val="21"/>
        </w:rPr>
        <w:t>Credit and Accounts Department</w:t>
      </w:r>
      <w:r>
        <w:br/>
      </w:r>
      <w:r>
        <w:rPr>
          <w:b w:val="0"/>
          <w:i w:val="0"/>
          <w:sz w:val="21"/>
        </w:rPr>
        <w:t>5400 Commerce Center Boulevard, Suite 800, Dallas, TX 75207</w:t>
      </w:r>
    </w:p>
    <w:p>
      <w:pPr>
        <w:spacing w:before="0" w:after="80" w:line="276" w:lineRule="auto"/>
      </w:pPr>
      <w:r>
        <w:rPr>
          <w:b w:val="0"/>
          <w:i w:val="0"/>
          <w:sz w:val="21"/>
        </w:rPr>
        <w:t>To the Applicant,</w:t>
      </w:r>
    </w:p>
    <w:p>
      <w:pPr>
        <w:spacing w:before="0" w:after="80" w:line="276" w:lineRule="auto"/>
      </w:pPr>
      <w:r>
        <w:rPr>
          <w:b w:val="0"/>
          <w:i w:val="0"/>
          <w:sz w:val="21"/>
        </w:rPr>
        <w:t>Thank you for your interest in opening a trade account with Meridian Industrial Supply. This pack contains everything our Credit and Accounts Department will refer to when your application is reviewed and your account is set up in our customer system: our credit policy, the onboarding procedure and the documents we need, a guide to the application form with a worked specimen, the application form itself, the reference request forms, our terms and conditions of sale, the catalogue and service summary, our data protection notice, the dispute procedure, a glossary and our contact directory.</w:t>
      </w:r>
    </w:p>
    <w:p>
      <w:pPr>
        <w:spacing w:before="0" w:after="80" w:line="276" w:lineRule="auto"/>
      </w:pPr>
      <w:r>
        <w:rPr>
          <w:b w:val="0"/>
          <w:i w:val="0"/>
          <w:sz w:val="21"/>
        </w:rPr>
        <w:t>Please complete only the credit application in Section 4. Every other section is for reference. When the application is complete, return it with the documents listed in Section 2.3 to your account manager or to the Credit Department directly. A complete application is normally decided within five working days; trade references that do not respond are the commonest cause of delay.</w:t>
      </w:r>
    </w:p>
    <w:p>
      <w:pPr>
        <w:spacing w:before="0" w:after="80" w:line="276" w:lineRule="auto"/>
      </w:pPr>
      <w:r>
        <w:rPr>
          <w:b w:val="0"/>
          <w:i w:val="0"/>
          <w:sz w:val="21"/>
        </w:rPr>
        <w:t>Yours faithfully,</w:t>
      </w:r>
    </w:p>
    <w:p>
      <w:pPr>
        <w:spacing w:before="0" w:after="80" w:line="276" w:lineRule="auto"/>
      </w:pPr>
      <w:r>
        <w:rPr>
          <w:b w:val="0"/>
          <w:i w:val="0"/>
          <w:sz w:val="21"/>
        </w:rPr>
        <w:t>Rachel Oyelaran</w:t>
      </w:r>
      <w:r>
        <w:br/>
      </w:r>
      <w:r>
        <w:rPr>
          <w:b w:val="0"/>
          <w:i w:val="0"/>
          <w:sz w:val="21"/>
        </w:rPr>
        <w:t>Credit Manager</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Credit Policy</w:t>
            </w:r>
          </w:p>
        </w:tc>
        <w:tc>
          <w:tcPr>
            <w:tcW w:type="dxa" w:w="4876"/>
          </w:tcPr>
          <w:p>
            <w:pPr>
              <w:spacing w:before="0" w:after="0"/>
            </w:pPr>
            <w:r/>
            <w:r>
              <w:rPr>
                <w:b w:val="0"/>
                <w:i w:val="0"/>
                <w:sz w:val="16"/>
              </w:rPr>
              <w:t>How credit is assessed, granted, reviewed and withdrawn</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Onboarding Procedure</w:t>
            </w:r>
          </w:p>
        </w:tc>
        <w:tc>
          <w:tcPr>
            <w:tcW w:type="dxa" w:w="4876"/>
          </w:tcPr>
          <w:p>
            <w:pPr>
              <w:spacing w:before="0" w:after="0"/>
            </w:pPr>
            <w:r/>
            <w:r>
              <w:rPr>
                <w:b w:val="0"/>
                <w:i w:val="0"/>
                <w:sz w:val="16"/>
              </w:rPr>
              <w:t>Steps, timing, documents required, account set-up</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the Credit Application</w:t>
            </w:r>
          </w:p>
        </w:tc>
        <w:tc>
          <w:tcPr>
            <w:tcW w:type="dxa" w:w="4876"/>
          </w:tcPr>
          <w:p>
            <w:pPr>
              <w:spacing w:before="0" w:after="0"/>
            </w:pPr>
            <w:r/>
            <w:r>
              <w:rPr>
                <w:b w:val="0"/>
                <w:i w:val="0"/>
                <w:sz w:val="16"/>
              </w:rPr>
              <w:t>Field-by-field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Credit Application</w:t>
            </w:r>
          </w:p>
        </w:tc>
        <w:tc>
          <w:tcPr>
            <w:tcW w:type="dxa" w:w="4876"/>
          </w:tcPr>
          <w:p>
            <w:pPr>
              <w:spacing w:before="0" w:after="0"/>
            </w:pPr>
            <w:r/>
            <w:r>
              <w:rPr>
                <w:b w:val="0"/>
                <w:i w:val="0"/>
                <w:sz w:val="16"/>
              </w:rPr>
              <w:t>The form completed by the Applicant</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Reference Forms</w:t>
            </w:r>
          </w:p>
        </w:tc>
        <w:tc>
          <w:tcPr>
            <w:tcW w:type="dxa" w:w="4876"/>
          </w:tcPr>
          <w:p>
            <w:pPr>
              <w:spacing w:before="0" w:after="0"/>
            </w:pPr>
            <w:r/>
            <w:r>
              <w:rPr>
                <w:b w:val="0"/>
                <w:i w:val="0"/>
                <w:sz w:val="16"/>
              </w:rPr>
              <w:t>Trade reference and bank reference request forms</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Terms and Conditions of Sale</w:t>
            </w:r>
          </w:p>
        </w:tc>
        <w:tc>
          <w:tcPr>
            <w:tcW w:type="dxa" w:w="4876"/>
          </w:tcPr>
          <w:p>
            <w:pPr>
              <w:spacing w:before="0" w:after="0"/>
            </w:pPr>
            <w:r/>
            <w:r>
              <w:rPr>
                <w:b w:val="0"/>
                <w:i w:val="0"/>
                <w:sz w:val="16"/>
              </w:rPr>
              <w:t>The contract terms that govern every order</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Catalogue and Service Summary</w:t>
            </w:r>
          </w:p>
        </w:tc>
        <w:tc>
          <w:tcPr>
            <w:tcW w:type="dxa" w:w="4876"/>
          </w:tcPr>
          <w:p>
            <w:pPr>
              <w:spacing w:before="0" w:after="0"/>
            </w:pPr>
            <w:r/>
            <w:r>
              <w:rPr>
                <w:b w:val="0"/>
                <w:i w:val="0"/>
                <w:sz w:val="16"/>
              </w:rPr>
              <w:t>Product families, service levels, delivery zones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Data Protection Notice</w:t>
            </w:r>
          </w:p>
        </w:tc>
        <w:tc>
          <w:tcPr>
            <w:tcW w:type="dxa" w:w="4876"/>
          </w:tcPr>
          <w:p>
            <w:pPr>
              <w:spacing w:before="0" w:after="0"/>
            </w:pPr>
            <w:r/>
            <w:r>
              <w:rPr>
                <w:b w:val="0"/>
                <w:i w:val="0"/>
                <w:sz w:val="16"/>
              </w:rPr>
              <w:t>How applicant and contact data is used</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Disputes and Complaints</w:t>
            </w:r>
          </w:p>
        </w:tc>
        <w:tc>
          <w:tcPr>
            <w:tcW w:type="dxa" w:w="4876"/>
          </w:tcPr>
          <w:p>
            <w:pPr>
              <w:spacing w:before="0" w:after="0"/>
            </w:pPr>
            <w:r/>
            <w:r>
              <w:rPr>
                <w:b w:val="0"/>
                <w:i w:val="0"/>
                <w:sz w:val="16"/>
              </w:rPr>
              <w:t>Invoice disputes, returns, escalation</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Glossary, Contacts and Document Control</w:t>
            </w:r>
          </w:p>
        </w:tc>
        <w:tc>
          <w:tcPr>
            <w:tcW w:type="dxa" w:w="4876"/>
          </w:tcPr>
          <w:p>
            <w:pPr>
              <w:spacing w:before="0" w:after="0"/>
            </w:pPr>
            <w:r/>
            <w:r>
              <w:rPr>
                <w:b w:val="0"/>
                <w:i w:val="0"/>
                <w:sz w:val="16"/>
              </w:rPr>
              <w:t>Terms, who to ask, version history</w:t>
            </w:r>
          </w:p>
        </w:tc>
      </w:tr>
    </w:tbl>
    <w:p>
      <w:pPr>
        <w:spacing w:before="0" w:after="80"/>
      </w:pPr>
    </w:p>
    <w:p>
      <w:r>
        <w:br w:type="page"/>
      </w:r>
    </w:p>
    <w:p>
      <w:pPr>
        <w:spacing w:before="120" w:after="120" w:line="276" w:lineRule="auto"/>
      </w:pPr>
      <w:r>
        <w:rPr>
          <w:b/>
          <w:i w:val="0"/>
          <w:sz w:val="26"/>
        </w:rPr>
        <w:t>Section 1.  Credit Policy</w:t>
      </w:r>
    </w:p>
    <w:p>
      <w:pPr>
        <w:spacing w:before="0" w:after="80" w:line="276" w:lineRule="auto"/>
      </w:pPr>
      <w:r>
        <w:rPr>
          <w:b w:val="0"/>
          <w:i w:val="0"/>
          <w:sz w:val="21"/>
        </w:rPr>
        <w:t>Meridian Industrial Supply (the Company) sells on open account to business customers that meet the criteria in this policy. The policy exists to protect the Company against bad debt while allowing customers to trade on terms that suit their purchasing cycle. It is applied by the Credit and Accounts Department under the authority of the Chief Financial Officer and is reviewed annually.</w:t>
      </w:r>
    </w:p>
    <w:p>
      <w:pPr>
        <w:spacing w:before="160" w:after="60" w:line="276" w:lineRule="auto"/>
      </w:pPr>
      <w:r>
        <w:rPr>
          <w:b/>
          <w:i w:val="0"/>
          <w:sz w:val="21"/>
        </w:rPr>
        <w:t>1.1  Who may apply</w:t>
      </w:r>
    </w:p>
    <w:p>
      <w:pPr>
        <w:spacing w:before="0" w:after="80" w:line="276" w:lineRule="auto"/>
      </w:pPr>
      <w:r>
        <w:rPr>
          <w:b w:val="0"/>
          <w:i w:val="0"/>
          <w:sz w:val="21"/>
        </w:rPr>
        <w:t>Any business entity — corporation, limited liability company, partnership or sole proprietorship — that purchases goods for use in its own operations or for resale may apply for a trade account. Individuals purchasing for personal use, and entities that have been in operation for less than twelve months, are served on prepayment or card terms until a trading history is established. Public bodies and educational institutions are accepted on presentation of a purchase order and are not subject to the credit assessment in 1.3.</w:t>
      </w:r>
    </w:p>
    <w:p>
      <w:pPr>
        <w:spacing w:before="160" w:after="60" w:line="276" w:lineRule="auto"/>
      </w:pPr>
      <w:r>
        <w:rPr>
          <w:b/>
          <w:i w:val="0"/>
          <w:sz w:val="21"/>
        </w:rPr>
        <w:t>1.2  Account types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Account type</w:t>
            </w:r>
          </w:p>
        </w:tc>
        <w:tc>
          <w:tcPr>
            <w:tcW w:type="dxa" w:w="5329"/>
            <w:vAlign w:val="bottom"/>
            <w:shd w:val="clear" w:color="auto" w:fill="D9D9D9"/>
          </w:tcPr>
          <w:p>
            <w:pPr>
              <w:spacing w:before="0" w:after="0"/>
            </w:pPr>
            <w:r/>
            <w:r>
              <w:rPr>
                <w:b/>
                <w:i w:val="0"/>
                <w:sz w:val="14"/>
              </w:rPr>
              <w:t>Who it is for</w:t>
            </w:r>
          </w:p>
        </w:tc>
        <w:tc>
          <w:tcPr>
            <w:tcW w:type="dxa" w:w="2608"/>
            <w:vAlign w:val="bottom"/>
            <w:shd w:val="clear" w:color="auto" w:fill="D9D9D9"/>
          </w:tcPr>
          <w:p>
            <w:pPr>
              <w:spacing w:before="0" w:after="0"/>
            </w:pPr>
            <w:r/>
            <w:r>
              <w:rPr>
                <w:b/>
                <w:i w:val="0"/>
                <w:sz w:val="14"/>
              </w:rPr>
              <w:t>Typical terms</w:t>
            </w:r>
          </w:p>
        </w:tc>
      </w:tr>
      <w:tr>
        <w:tc>
          <w:tcPr>
            <w:tcW w:type="dxa" w:w="1474"/>
          </w:tcPr>
          <w:p>
            <w:pPr>
              <w:spacing w:before="0" w:after="0"/>
            </w:pPr>
            <w:r/>
            <w:r>
              <w:rPr>
                <w:b w:val="0"/>
                <w:i w:val="0"/>
                <w:sz w:val="16"/>
              </w:rPr>
              <w:t>Prospect</w:t>
            </w:r>
          </w:p>
        </w:tc>
        <w:tc>
          <w:tcPr>
            <w:tcW w:type="dxa" w:w="5329"/>
          </w:tcPr>
          <w:p>
            <w:pPr>
              <w:spacing w:before="0" w:after="0"/>
            </w:pPr>
            <w:r/>
            <w:r>
              <w:rPr>
                <w:b w:val="0"/>
                <w:i w:val="0"/>
                <w:sz w:val="16"/>
              </w:rPr>
              <w:t>A business that has applied but has not yet placed an order, or trades on prepayment while credit is assessed</w:t>
            </w:r>
          </w:p>
        </w:tc>
        <w:tc>
          <w:tcPr>
            <w:tcW w:type="dxa" w:w="2608"/>
          </w:tcPr>
          <w:p>
            <w:pPr>
              <w:spacing w:before="0" w:after="0"/>
            </w:pPr>
            <w:r/>
            <w:r>
              <w:rPr>
                <w:b w:val="0"/>
                <w:i w:val="0"/>
                <w:sz w:val="16"/>
              </w:rPr>
              <w:t>Prepayment or card</w:t>
            </w:r>
          </w:p>
        </w:tc>
      </w:tr>
      <w:tr>
        <w:tc>
          <w:tcPr>
            <w:tcW w:type="dxa" w:w="1474"/>
          </w:tcPr>
          <w:p>
            <w:pPr>
              <w:spacing w:before="0" w:after="0"/>
            </w:pPr>
            <w:r/>
            <w:r>
              <w:rPr>
                <w:b w:val="0"/>
                <w:i w:val="0"/>
                <w:sz w:val="16"/>
              </w:rPr>
              <w:t>Customer</w:t>
            </w:r>
          </w:p>
        </w:tc>
        <w:tc>
          <w:tcPr>
            <w:tcW w:type="dxa" w:w="5329"/>
          </w:tcPr>
          <w:p>
            <w:pPr>
              <w:spacing w:before="0" w:after="0"/>
            </w:pPr>
            <w:r/>
            <w:r>
              <w:rPr>
                <w:b w:val="0"/>
                <w:i w:val="0"/>
                <w:sz w:val="16"/>
              </w:rPr>
              <w:t>A business that purchases for its own use and has an approved credit limit</w:t>
            </w:r>
          </w:p>
        </w:tc>
        <w:tc>
          <w:tcPr>
            <w:tcW w:type="dxa" w:w="2608"/>
          </w:tcPr>
          <w:p>
            <w:pPr>
              <w:spacing w:before="0" w:after="0"/>
            </w:pPr>
            <w:r/>
            <w:r>
              <w:rPr>
                <w:b w:val="0"/>
                <w:i w:val="0"/>
                <w:sz w:val="16"/>
              </w:rPr>
              <w:t>Net 30</w:t>
            </w:r>
          </w:p>
        </w:tc>
      </w:tr>
      <w:tr>
        <w:tc>
          <w:tcPr>
            <w:tcW w:type="dxa" w:w="1474"/>
          </w:tcPr>
          <w:p>
            <w:pPr>
              <w:spacing w:before="0" w:after="0"/>
            </w:pPr>
            <w:r/>
            <w:r>
              <w:rPr>
                <w:b w:val="0"/>
                <w:i w:val="0"/>
                <w:sz w:val="16"/>
              </w:rPr>
              <w:t>Reseller</w:t>
            </w:r>
          </w:p>
        </w:tc>
        <w:tc>
          <w:tcPr>
            <w:tcW w:type="dxa" w:w="5329"/>
          </w:tcPr>
          <w:p>
            <w:pPr>
              <w:spacing w:before="0" w:after="0"/>
            </w:pPr>
            <w:r/>
            <w:r>
              <w:rPr>
                <w:b w:val="0"/>
                <w:i w:val="0"/>
                <w:sz w:val="16"/>
              </w:rPr>
              <w:t>A business that purchases for resale, registered with a resale certificate</w:t>
            </w:r>
          </w:p>
        </w:tc>
        <w:tc>
          <w:tcPr>
            <w:tcW w:type="dxa" w:w="2608"/>
          </w:tcPr>
          <w:p>
            <w:pPr>
              <w:spacing w:before="0" w:after="0"/>
            </w:pPr>
            <w:r/>
            <w:r>
              <w:rPr>
                <w:b w:val="0"/>
                <w:i w:val="0"/>
                <w:sz w:val="16"/>
              </w:rPr>
              <w:t>Net 30, volume pricing tier</w:t>
            </w:r>
          </w:p>
        </w:tc>
      </w:tr>
      <w:tr>
        <w:tc>
          <w:tcPr>
            <w:tcW w:type="dxa" w:w="1474"/>
          </w:tcPr>
          <w:p>
            <w:pPr>
              <w:spacing w:before="0" w:after="0"/>
            </w:pPr>
            <w:r/>
            <w:r>
              <w:rPr>
                <w:b w:val="0"/>
                <w:i w:val="0"/>
                <w:sz w:val="16"/>
              </w:rPr>
              <w:t>Partner</w:t>
            </w:r>
          </w:p>
        </w:tc>
        <w:tc>
          <w:tcPr>
            <w:tcW w:type="dxa" w:w="5329"/>
          </w:tcPr>
          <w:p>
            <w:pPr>
              <w:spacing w:before="0" w:after="0"/>
            </w:pPr>
            <w:r/>
            <w:r>
              <w:rPr>
                <w:b w:val="0"/>
                <w:i w:val="0"/>
                <w:sz w:val="16"/>
              </w:rPr>
              <w:t>A systems integrator or contractor with a framework agreement</w:t>
            </w:r>
          </w:p>
        </w:tc>
        <w:tc>
          <w:tcPr>
            <w:tcW w:type="dxa" w:w="2608"/>
          </w:tcPr>
          <w:p>
            <w:pPr>
              <w:spacing w:before="0" w:after="0"/>
            </w:pPr>
            <w:r/>
            <w:r>
              <w:rPr>
                <w:b w:val="0"/>
                <w:i w:val="0"/>
                <w:sz w:val="16"/>
              </w:rPr>
              <w:t>Net 45, project pricing</w:t>
            </w:r>
          </w:p>
        </w:tc>
      </w:tr>
      <w:tr>
        <w:tc>
          <w:tcPr>
            <w:tcW w:type="dxa" w:w="1474"/>
          </w:tcPr>
          <w:p>
            <w:pPr>
              <w:spacing w:before="0" w:after="0"/>
            </w:pPr>
            <w:r/>
            <w:r>
              <w:rPr>
                <w:b w:val="0"/>
                <w:i w:val="0"/>
                <w:sz w:val="16"/>
              </w:rPr>
              <w:t>Key account</w:t>
            </w:r>
          </w:p>
        </w:tc>
        <w:tc>
          <w:tcPr>
            <w:tcW w:type="dxa" w:w="5329"/>
          </w:tcPr>
          <w:p>
            <w:pPr>
              <w:spacing w:before="0" w:after="0"/>
            </w:pPr>
            <w:r/>
            <w:r>
              <w:rPr>
                <w:b w:val="0"/>
                <w:i w:val="0"/>
                <w:sz w:val="16"/>
              </w:rPr>
              <w:t>A customer with annual purchases above the key-account threshold</w:t>
            </w:r>
          </w:p>
        </w:tc>
        <w:tc>
          <w:tcPr>
            <w:tcW w:type="dxa" w:w="2608"/>
          </w:tcPr>
          <w:p>
            <w:pPr>
              <w:spacing w:before="0" w:after="0"/>
            </w:pPr>
            <w:r/>
            <w:r>
              <w:rPr>
                <w:b w:val="0"/>
                <w:i w:val="0"/>
                <w:sz w:val="16"/>
              </w:rPr>
              <w:t>Negotiated</w:t>
            </w:r>
          </w:p>
        </w:tc>
      </w:tr>
    </w:tbl>
    <w:p>
      <w:pPr>
        <w:spacing w:before="0" w:after="80"/>
      </w:pPr>
    </w:p>
    <w:p>
      <w:pPr>
        <w:spacing w:before="160" w:after="60" w:line="276" w:lineRule="auto"/>
      </w:pPr>
      <w:r>
        <w:rPr>
          <w:b/>
          <w:i w:val="0"/>
          <w:sz w:val="21"/>
        </w:rPr>
        <w:t>1.3  Assessment</w:t>
      </w:r>
    </w:p>
    <w:p>
      <w:pPr>
        <w:spacing w:before="0" w:after="80" w:line="276" w:lineRule="auto"/>
      </w:pPr>
      <w:r>
        <w:rPr>
          <w:b w:val="0"/>
          <w:i w:val="0"/>
          <w:sz w:val="21"/>
        </w:rPr>
        <w:t>The credit assessment considers the information given on the application, the responses of the trade and bank references, the report of a commercial credit bureau, the public record for liens, judgements and bankruptcy filings, and, where the requested limit exceeds the threshold in 1.4, the applicant's most recent financial statements. The assessment produces a recommended credit limit and payment term, which are set within the delegated authorities in 1.5. The Company does not disclose the bureau score or the content of reference responses to the applicant; it will, on request, state the reason for a refusal in general terms.</w:t>
      </w:r>
    </w:p>
    <w:p>
      <w:pPr>
        <w:spacing w:before="160" w:after="60" w:line="276" w:lineRule="auto"/>
      </w:pPr>
      <w:r>
        <w:rPr>
          <w:b/>
          <w:i w:val="0"/>
          <w:sz w:val="21"/>
        </w:rPr>
        <w:t>1.4  Credit limits</w:t>
      </w:r>
    </w:p>
    <w:p>
      <w:pPr>
        <w:spacing w:before="0" w:after="60" w:line="276" w:lineRule="auto"/>
        <w:ind w:left="454" w:hanging="454"/>
      </w:pPr>
      <w:r>
        <w:rPr>
          <w:b w:val="0"/>
          <w:i w:val="0"/>
          <w:sz w:val="21"/>
        </w:rPr>
        <w:t>1.</w:t>
        <w:tab/>
        <w:t>An initial limit is set at the lower of the amount requested and the amount supported by the assessment. Limits are set in increments of five thousand dollars.</w:t>
      </w:r>
    </w:p>
    <w:p>
      <w:pPr>
        <w:spacing w:before="0" w:after="60" w:line="276" w:lineRule="auto"/>
        <w:ind w:left="454" w:hanging="454"/>
      </w:pPr>
      <w:r>
        <w:rPr>
          <w:b w:val="0"/>
          <w:i w:val="0"/>
          <w:sz w:val="21"/>
        </w:rPr>
        <w:t>2.</w:t>
        <w:tab/>
        <w:t>The limit applies to the total of unpaid invoices and open orders. An order that would take the account over its limit is held for review; the account manager may release it against an interim payment.</w:t>
      </w:r>
    </w:p>
    <w:p>
      <w:pPr>
        <w:spacing w:before="0" w:after="60" w:line="276" w:lineRule="auto"/>
        <w:ind w:left="454" w:hanging="454"/>
      </w:pPr>
      <w:r>
        <w:rPr>
          <w:b w:val="0"/>
          <w:i w:val="0"/>
          <w:sz w:val="21"/>
        </w:rPr>
        <w:t>3.</w:t>
        <w:tab/>
        <w:t>A limit above one hundred thousand dollars requires financial statements for the last two fiscal years, reviewed or audited by an independent accountant, and a limit above five hundred thousand dollars requires a personal or parent-company guarantee unless the applicant's net worth exceeds four times the limit.</w:t>
      </w:r>
    </w:p>
    <w:p>
      <w:pPr>
        <w:spacing w:before="0" w:after="60" w:line="276" w:lineRule="auto"/>
        <w:ind w:left="454" w:hanging="454"/>
      </w:pPr>
      <w:r>
        <w:rPr>
          <w:b w:val="0"/>
          <w:i w:val="0"/>
          <w:sz w:val="21"/>
        </w:rPr>
        <w:t>4.</w:t>
        <w:tab/>
        <w:t>Limits are reviewed at each anniversary and whenever the account's payment behaviour changes materially. A customer may request an increase at any time by submitting updated financial information.</w:t>
      </w:r>
    </w:p>
    <w:p>
      <w:pPr>
        <w:spacing w:before="0" w:after="60" w:line="276" w:lineRule="auto"/>
        <w:ind w:left="454" w:hanging="454"/>
      </w:pPr>
      <w:r>
        <w:rPr>
          <w:b w:val="0"/>
          <w:i w:val="0"/>
          <w:sz w:val="21"/>
        </w:rPr>
        <w:t>5.</w:t>
        <w:tab/>
        <w:t>Expected monthly purchases stated on the application are used to size the limit and to plan stock; they are not a commitment by either party.</w:t>
      </w:r>
    </w:p>
    <w:p>
      <w:pPr>
        <w:spacing w:before="160" w:after="60" w:line="276" w:lineRule="auto"/>
      </w:pPr>
      <w:r>
        <w:rPr>
          <w:b/>
          <w:i w:val="0"/>
          <w:sz w:val="21"/>
        </w:rPr>
        <w:t>1.5  Delegated authorities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bottom"/>
            <w:shd w:val="clear" w:color="auto" w:fill="D9D9D9"/>
          </w:tcPr>
          <w:p>
            <w:pPr>
              <w:spacing w:before="0" w:after="0"/>
            </w:pPr>
            <w:r/>
            <w:r>
              <w:rPr>
                <w:b/>
                <w:i w:val="0"/>
                <w:sz w:val="14"/>
              </w:rPr>
              <w:t>Post</w:t>
            </w:r>
          </w:p>
        </w:tc>
        <w:tc>
          <w:tcPr>
            <w:tcW w:type="dxa" w:w="3175"/>
            <w:vAlign w:val="bottom"/>
            <w:shd w:val="clear" w:color="auto" w:fill="D9D9D9"/>
          </w:tcPr>
          <w:p>
            <w:pPr>
              <w:spacing w:before="0" w:after="0"/>
            </w:pPr>
            <w:r/>
            <w:r>
              <w:rPr>
                <w:b/>
                <w:i w:val="0"/>
                <w:sz w:val="14"/>
              </w:rPr>
              <w:t>May approve a limit up to</w:t>
            </w:r>
          </w:p>
        </w:tc>
        <w:tc>
          <w:tcPr>
            <w:tcW w:type="dxa" w:w="3402"/>
            <w:vAlign w:val="bottom"/>
            <w:shd w:val="clear" w:color="auto" w:fill="D9D9D9"/>
          </w:tcPr>
          <w:p>
            <w:pPr>
              <w:spacing w:before="0" w:after="0"/>
            </w:pPr>
            <w:r/>
            <w:r>
              <w:rPr>
                <w:b/>
                <w:i w:val="0"/>
                <w:sz w:val="14"/>
              </w:rPr>
              <w:t>Term</w:t>
            </w:r>
          </w:p>
        </w:tc>
      </w:tr>
      <w:tr>
        <w:tc>
          <w:tcPr>
            <w:tcW w:type="dxa" w:w="2835"/>
          </w:tcPr>
          <w:p>
            <w:pPr>
              <w:spacing w:before="0" w:after="0"/>
            </w:pPr>
            <w:r/>
            <w:r>
              <w:rPr>
                <w:b w:val="0"/>
                <w:i w:val="0"/>
                <w:sz w:val="16"/>
              </w:rPr>
              <w:t>Credit analyst</w:t>
            </w:r>
          </w:p>
        </w:tc>
        <w:tc>
          <w:tcPr>
            <w:tcW w:type="dxa" w:w="3175"/>
          </w:tcPr>
          <w:p>
            <w:pPr>
              <w:spacing w:before="0" w:after="0"/>
            </w:pPr>
            <w:r/>
            <w:r>
              <w:rPr>
                <w:b w:val="0"/>
                <w:i w:val="0"/>
                <w:sz w:val="16"/>
              </w:rPr>
              <w:t>$25,000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Senior credit analyst</w:t>
            </w:r>
          </w:p>
        </w:tc>
        <w:tc>
          <w:tcPr>
            <w:tcW w:type="dxa" w:w="3175"/>
          </w:tcPr>
          <w:p>
            <w:pPr>
              <w:spacing w:before="0" w:after="0"/>
            </w:pPr>
            <w:r/>
            <w:r>
              <w:rPr>
                <w:b w:val="0"/>
                <w:i w:val="0"/>
                <w:sz w:val="16"/>
              </w:rPr>
              <w:t>$75,000</w:t>
            </w:r>
          </w:p>
        </w:tc>
        <w:tc>
          <w:tcPr>
            <w:tcW w:type="dxa" w:w="3402"/>
          </w:tcPr>
          <w:p>
            <w:pPr>
              <w:spacing w:before="0" w:after="0"/>
            </w:pPr>
            <w:r/>
            <w:r>
              <w:rPr>
                <w:b w:val="0"/>
                <w:i w:val="0"/>
                <w:sz w:val="16"/>
              </w:rPr>
              <w:t>Net 30</w:t>
            </w:r>
          </w:p>
        </w:tc>
      </w:tr>
      <w:tr>
        <w:tc>
          <w:tcPr>
            <w:tcW w:type="dxa" w:w="2835"/>
          </w:tcPr>
          <w:p>
            <w:pPr>
              <w:spacing w:before="0" w:after="0"/>
            </w:pPr>
            <w:r/>
            <w:r>
              <w:rPr>
                <w:b w:val="0"/>
                <w:i w:val="0"/>
                <w:sz w:val="16"/>
              </w:rPr>
              <w:t>Credit Manager</w:t>
            </w:r>
          </w:p>
        </w:tc>
        <w:tc>
          <w:tcPr>
            <w:tcW w:type="dxa" w:w="3175"/>
          </w:tcPr>
          <w:p>
            <w:pPr>
              <w:spacing w:before="0" w:after="0"/>
            </w:pPr>
            <w:r/>
            <w:r>
              <w:rPr>
                <w:b w:val="0"/>
                <w:i w:val="0"/>
                <w:sz w:val="16"/>
              </w:rPr>
              <w:t>$250,000</w:t>
            </w:r>
          </w:p>
        </w:tc>
        <w:tc>
          <w:tcPr>
            <w:tcW w:type="dxa" w:w="3402"/>
          </w:tcPr>
          <w:p>
            <w:pPr>
              <w:spacing w:before="0" w:after="0"/>
            </w:pPr>
            <w:r/>
            <w:r>
              <w:rPr>
                <w:b w:val="0"/>
                <w:i w:val="0"/>
                <w:sz w:val="16"/>
              </w:rPr>
              <w:t>Net 30 or Net 45</w:t>
            </w:r>
          </w:p>
        </w:tc>
      </w:tr>
      <w:tr>
        <w:tc>
          <w:tcPr>
            <w:tcW w:type="dxa" w:w="2835"/>
          </w:tcPr>
          <w:p>
            <w:pPr>
              <w:spacing w:before="0" w:after="0"/>
            </w:pPr>
            <w:r/>
            <w:r>
              <w:rPr>
                <w:b w:val="0"/>
                <w:i w:val="0"/>
                <w:sz w:val="16"/>
              </w:rPr>
              <w:t>Chief Financial Officer</w:t>
            </w:r>
          </w:p>
        </w:tc>
        <w:tc>
          <w:tcPr>
            <w:tcW w:type="dxa" w:w="3175"/>
          </w:tcPr>
          <w:p>
            <w:pPr>
              <w:spacing w:before="0" w:after="0"/>
            </w:pPr>
            <w:r/>
            <w:r>
              <w:rPr>
                <w:b w:val="0"/>
                <w:i w:val="0"/>
                <w:sz w:val="16"/>
              </w:rPr>
              <w:t>$1,000,000</w:t>
            </w:r>
          </w:p>
        </w:tc>
        <w:tc>
          <w:tcPr>
            <w:tcW w:type="dxa" w:w="3402"/>
          </w:tcPr>
          <w:p>
            <w:pPr>
              <w:spacing w:before="0" w:after="0"/>
            </w:pPr>
            <w:r/>
            <w:r>
              <w:rPr>
                <w:b w:val="0"/>
                <w:i w:val="0"/>
                <w:sz w:val="16"/>
              </w:rPr>
              <w:t>Any</w:t>
            </w:r>
          </w:p>
        </w:tc>
      </w:tr>
      <w:tr>
        <w:tc>
          <w:tcPr>
            <w:tcW w:type="dxa" w:w="2835"/>
          </w:tcPr>
          <w:p>
            <w:pPr>
              <w:spacing w:before="0" w:after="0"/>
            </w:pPr>
            <w:r/>
            <w:r>
              <w:rPr>
                <w:b w:val="0"/>
                <w:i w:val="0"/>
                <w:sz w:val="16"/>
              </w:rPr>
              <w:t>Board credit committee</w:t>
            </w:r>
          </w:p>
        </w:tc>
        <w:tc>
          <w:tcPr>
            <w:tcW w:type="dxa" w:w="3175"/>
          </w:tcPr>
          <w:p>
            <w:pPr>
              <w:spacing w:before="0" w:after="0"/>
            </w:pPr>
            <w:r/>
            <w:r>
              <w:rPr>
                <w:b w:val="0"/>
                <w:i w:val="0"/>
                <w:sz w:val="16"/>
              </w:rPr>
              <w:t>Above $1,000,000</w:t>
            </w:r>
          </w:p>
        </w:tc>
        <w:tc>
          <w:tcPr>
            <w:tcW w:type="dxa" w:w="3402"/>
          </w:tcPr>
          <w:p>
            <w:pPr>
              <w:spacing w:before="0" w:after="0"/>
            </w:pPr>
            <w:r/>
            <w:r>
              <w:rPr>
                <w:b w:val="0"/>
                <w:i w:val="0"/>
                <w:sz w:val="16"/>
              </w:rPr>
              <w:t>Any</w:t>
            </w:r>
          </w:p>
        </w:tc>
      </w:tr>
    </w:tbl>
    <w:p>
      <w:pPr>
        <w:spacing w:before="0" w:after="80"/>
      </w:pPr>
    </w:p>
    <w:p>
      <w:pPr>
        <w:spacing w:before="160" w:after="60" w:line="276" w:lineRule="auto"/>
      </w:pPr>
      <w:r>
        <w:rPr>
          <w:b/>
          <w:i w:val="0"/>
          <w:sz w:val="21"/>
        </w:rPr>
        <w:t>1.6  Payment terms</w:t>
      </w:r>
    </w:p>
    <w:p>
      <w:pPr>
        <w:spacing w:before="0" w:after="80" w:line="276" w:lineRule="auto"/>
      </w:pPr>
      <w:r>
        <w:rPr>
          <w:b w:val="0"/>
          <w:i w:val="0"/>
          <w:sz w:val="21"/>
        </w:rPr>
        <w:t>Standard terms are net thirty days from the invoice date. Invoices are issued on the date of shipment, or on the date of collection where the customer collects. A prompt-payment discount of one percent is offered on invoices paid within ten days where the account is in good standing. Payment is accepted by ACH transfer, wire, cheque or card; card payments above ten thousand dollars carry a surcharge of two and a half percent. Payment is applied to the oldest open invoice unless the remittance advice specifies otherwise.</w:t>
      </w:r>
    </w:p>
    <w:p>
      <w:pPr>
        <w:spacing w:before="160" w:after="60" w:line="276" w:lineRule="auto"/>
      </w:pPr>
      <w:r>
        <w:rPr>
          <w:b/>
          <w:i w:val="0"/>
          <w:sz w:val="21"/>
        </w:rPr>
        <w:t>1.7  Overdue accounts</w:t>
      </w:r>
    </w:p>
    <w:p>
      <w:pPr>
        <w:spacing w:before="0" w:after="60" w:line="276" w:lineRule="auto"/>
        <w:ind w:left="454" w:hanging="454"/>
      </w:pPr>
      <w:r>
        <w:rPr>
          <w:b w:val="0"/>
          <w:i w:val="0"/>
          <w:sz w:val="21"/>
        </w:rPr>
        <w:t>1.</w:t>
        <w:tab/>
        <w:t>An account with an invoice more than ten days overdue receives a statement and reminder.</w:t>
      </w:r>
    </w:p>
    <w:p>
      <w:pPr>
        <w:spacing w:before="0" w:after="60" w:line="276" w:lineRule="auto"/>
        <w:ind w:left="454" w:hanging="454"/>
      </w:pPr>
      <w:r>
        <w:rPr>
          <w:b w:val="0"/>
          <w:i w:val="0"/>
          <w:sz w:val="21"/>
        </w:rPr>
        <w:t>2.</w:t>
        <w:tab/>
        <w:t>At thirty days overdue, the account is placed on credit hold: new orders are accepted only against payment, and the account manager contacts the customer.</w:t>
      </w:r>
    </w:p>
    <w:p>
      <w:pPr>
        <w:spacing w:before="0" w:after="60" w:line="276" w:lineRule="auto"/>
        <w:ind w:left="454" w:hanging="454"/>
      </w:pPr>
      <w:r>
        <w:rPr>
          <w:b w:val="0"/>
          <w:i w:val="0"/>
          <w:sz w:val="21"/>
        </w:rPr>
        <w:t>3.</w:t>
        <w:tab/>
        <w:t>At sixty days overdue, interest is charged at one and a half percent per month on the overdue balance, and the account is referred to the Credit Manager.</w:t>
      </w:r>
    </w:p>
    <w:p>
      <w:pPr>
        <w:spacing w:before="0" w:after="60" w:line="276" w:lineRule="auto"/>
        <w:ind w:left="454" w:hanging="454"/>
      </w:pPr>
      <w:r>
        <w:rPr>
          <w:b w:val="0"/>
          <w:i w:val="0"/>
          <w:sz w:val="21"/>
        </w:rPr>
        <w:t>4.</w:t>
        <w:tab/>
        <w:t>At ninety days overdue, the account is referred to collection and the credit limit is withdrawn. Reinstatement requires settlement in full and a fresh application.</w:t>
      </w:r>
    </w:p>
    <w:p>
      <w:pPr>
        <w:spacing w:before="0" w:after="60" w:line="276" w:lineRule="auto"/>
        <w:ind w:left="454" w:hanging="454"/>
      </w:pPr>
      <w:r>
        <w:rPr>
          <w:b w:val="0"/>
          <w:i w:val="0"/>
          <w:sz w:val="21"/>
        </w:rPr>
        <w:t>5.</w:t>
        <w:tab/>
        <w:t>Disputed invoices are excluded from the overdue calculation while the dispute is logged under Section 9 and being actively resolved.</w:t>
      </w:r>
    </w:p>
    <w:p>
      <w:pPr>
        <w:spacing w:before="160" w:after="60" w:line="276" w:lineRule="auto"/>
      </w:pPr>
      <w:r>
        <w:rPr>
          <w:b/>
          <w:i w:val="0"/>
          <w:sz w:val="21"/>
        </w:rPr>
        <w:t>1.8  Purchase orders</w:t>
      </w:r>
    </w:p>
    <w:p>
      <w:pPr>
        <w:spacing w:before="0" w:after="80" w:line="276" w:lineRule="auto"/>
      </w:pPr>
      <w:r>
        <w:rPr>
          <w:b w:val="0"/>
          <w:i w:val="0"/>
          <w:sz w:val="21"/>
        </w:rPr>
        <w:t>Where the applicant states that a purchase order is required, the Company will not ship without a purchase order number and will quote it on the invoice. Orders placed by telephone or e-mail without a purchase order are confirmed in writing before shipment. Blanket purchase orders are accepted for call-off against a framework.</w:t>
      </w:r>
    </w:p>
    <w:p>
      <w:pPr>
        <w:spacing w:before="160" w:after="60" w:line="276" w:lineRule="auto"/>
      </w:pPr>
      <w:r>
        <w:rPr>
          <w:b/>
          <w:i w:val="0"/>
          <w:sz w:val="21"/>
        </w:rPr>
        <w:t>1.9  Information and changes</w:t>
      </w:r>
    </w:p>
    <w:p>
      <w:pPr>
        <w:spacing w:before="0" w:after="80" w:line="276" w:lineRule="auto"/>
      </w:pPr>
      <w:r>
        <w:rPr>
          <w:b w:val="0"/>
          <w:i w:val="0"/>
          <w:sz w:val="21"/>
        </w:rPr>
        <w:t>The customer must notify the Company of any change in legal name, ownership, entity type, registered address, billing address or banking arrangements within thirty days, and of any petition in bankruptcy, assignment for the benefit of creditors, or appointment of a receiver immediately. Failure to notify a material change entitles the Company to suspend the account.</w:t>
      </w:r>
    </w:p>
    <w:p>
      <w:pPr>
        <w:spacing w:before="160" w:after="60" w:line="276" w:lineRule="auto"/>
      </w:pPr>
      <w:r>
        <w:rPr>
          <w:b/>
          <w:i w:val="0"/>
          <w:sz w:val="21"/>
        </w:rPr>
        <w:t>1.10  Withdrawal and closure</w:t>
      </w:r>
    </w:p>
    <w:p>
      <w:pPr>
        <w:spacing w:before="0" w:after="80" w:line="276" w:lineRule="auto"/>
      </w:pPr>
      <w:r>
        <w:rPr>
          <w:b w:val="0"/>
          <w:i w:val="0"/>
          <w:sz w:val="21"/>
        </w:rPr>
        <w:t>The Company may reduce or withdraw a credit limit at any time on written notice where the assessment no longer supports it. An account with no purchases for eighteen months is closed and must be reopened by a fresh application. Closure does not affect obligations already incurred.</w:t>
      </w:r>
    </w:p>
    <w:p>
      <w:pPr>
        <w:spacing w:before="160" w:after="60" w:line="276" w:lineRule="auto"/>
      </w:pPr>
      <w:r>
        <w:rPr>
          <w:b/>
          <w:i w:val="0"/>
          <w:sz w:val="21"/>
        </w:rPr>
        <w:t>1.11  Know-your-customer and sanctions screening</w:t>
      </w:r>
    </w:p>
    <w:p>
      <w:pPr>
        <w:spacing w:before="0" w:after="80" w:line="276" w:lineRule="auto"/>
      </w:pPr>
      <w:r>
        <w:rPr>
          <w:b w:val="0"/>
          <w:i w:val="0"/>
          <w:sz w:val="21"/>
        </w:rPr>
        <w:t>Before an account is opened, the Company verifies the applicant's legal existence against the register of the state of formation, confirms that the signatory has authority to bind the applicant, identifies the beneficial owners where the applicant is privately held, and screens the applicant, its principals and its beneficial owners against the sanctions lists maintained by the Office of Foreign Assets Control and against the denied-persons and entity lists of the Bureau of Industry and Security. Screening is repeated at each anniversary and whenever a change of ownership is notified. An applicant that appears on a list, or that is owned or controlled by a listed person, is declined, and the Company may be required by law not to disclose the reason.</w:t>
      </w:r>
    </w:p>
    <w:p>
      <w:pPr>
        <w:spacing w:before="160" w:after="60" w:line="276" w:lineRule="auto"/>
      </w:pPr>
      <w:r>
        <w:rPr>
          <w:b/>
          <w:i w:val="0"/>
          <w:sz w:val="21"/>
        </w:rPr>
        <w:t>1.12  Credit insurance</w:t>
      </w:r>
    </w:p>
    <w:p>
      <w:pPr>
        <w:spacing w:before="0" w:after="80" w:line="276" w:lineRule="auto"/>
      </w:pPr>
      <w:r>
        <w:rPr>
          <w:b w:val="0"/>
          <w:i w:val="0"/>
          <w:sz w:val="21"/>
        </w:rPr>
        <w:t>The Company insures its trade receivables. Accounts with limits above fifty thousand dollars are submitted to the insurer for an endorsed limit; where the insurer's limit is lower than the assessed limit, the lower figure applies unless the Chief Financial Officer accepts the uninsured portion in writing. The insurer's decision is not disclosed to the applicant, but an applicant whose limit is constrained by insurance may be invited to provide financial statements so that the insurer can reconsider.</w:t>
      </w:r>
    </w:p>
    <w:p>
      <w:pPr>
        <w:spacing w:before="160" w:after="60" w:line="276" w:lineRule="auto"/>
      </w:pPr>
      <w:r>
        <w:rPr>
          <w:b/>
          <w:i w:val="0"/>
          <w:sz w:val="21"/>
        </w:rPr>
        <w:t>1.13  Worked examples of limit sizing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948"/>
            <w:vAlign w:val="bottom"/>
            <w:shd w:val="clear" w:color="auto" w:fill="D9D9D9"/>
          </w:tcPr>
          <w:p>
            <w:pPr>
              <w:spacing w:before="0" w:after="0"/>
            </w:pPr>
            <w:r/>
            <w:r>
              <w:rPr>
                <w:b/>
                <w:i w:val="0"/>
                <w:sz w:val="14"/>
              </w:rPr>
              <w:t>Applicant profile</w:t>
            </w:r>
          </w:p>
        </w:tc>
        <w:tc>
          <w:tcPr>
            <w:tcW w:type="dxa" w:w="1020"/>
            <w:vAlign w:val="bottom"/>
            <w:shd w:val="clear" w:color="auto" w:fill="D9D9D9"/>
          </w:tcPr>
          <w:p>
            <w:pPr>
              <w:spacing w:before="0" w:after="0"/>
            </w:pPr>
            <w:r/>
            <w:r>
              <w:rPr>
                <w:b/>
                <w:i w:val="0"/>
                <w:sz w:val="14"/>
              </w:rPr>
              <w:t>Requested</w:t>
            </w:r>
          </w:p>
        </w:tc>
        <w:tc>
          <w:tcPr>
            <w:tcW w:type="dxa" w:w="1701"/>
            <w:vAlign w:val="bottom"/>
            <w:shd w:val="clear" w:color="auto" w:fill="D9D9D9"/>
          </w:tcPr>
          <w:p>
            <w:pPr>
              <w:spacing w:before="0" w:after="0"/>
            </w:pPr>
            <w:r/>
            <w:r>
              <w:rPr>
                <w:b/>
                <w:i w:val="0"/>
                <w:sz w:val="14"/>
              </w:rPr>
              <w:t>Supported by references and bureau</w:t>
            </w:r>
          </w:p>
        </w:tc>
        <w:tc>
          <w:tcPr>
            <w:tcW w:type="dxa" w:w="1474"/>
            <w:vAlign w:val="bottom"/>
            <w:shd w:val="clear" w:color="auto" w:fill="D9D9D9"/>
          </w:tcPr>
          <w:p>
            <w:pPr>
              <w:spacing w:before="0" w:after="0"/>
            </w:pPr>
            <w:r/>
            <w:r>
              <w:rPr>
                <w:b/>
                <w:i w:val="0"/>
                <w:sz w:val="14"/>
              </w:rPr>
              <w:t>Financials</w:t>
            </w:r>
          </w:p>
        </w:tc>
        <w:tc>
          <w:tcPr>
            <w:tcW w:type="dxa" w:w="1020"/>
            <w:vAlign w:val="bottom"/>
            <w:shd w:val="clear" w:color="auto" w:fill="D9D9D9"/>
          </w:tcPr>
          <w:p>
            <w:pPr>
              <w:spacing w:before="0" w:after="0"/>
            </w:pPr>
            <w:r/>
            <w:r>
              <w:rPr>
                <w:b/>
                <w:i w:val="0"/>
                <w:sz w:val="14"/>
              </w:rPr>
              <w:t>Limit set</w:t>
            </w:r>
          </w:p>
        </w:tc>
        <w:tc>
          <w:tcPr>
            <w:tcW w:type="dxa" w:w="1247"/>
            <w:vAlign w:val="bottom"/>
            <w:shd w:val="clear" w:color="auto" w:fill="D9D9D9"/>
          </w:tcPr>
          <w:p>
            <w:pPr>
              <w:spacing w:before="0" w:after="0"/>
            </w:pPr>
            <w:r/>
            <w:r>
              <w:rPr>
                <w:b/>
                <w:i w:val="0"/>
                <w:sz w:val="14"/>
              </w:rPr>
              <w:t>Term</w:t>
            </w:r>
          </w:p>
        </w:tc>
      </w:tr>
      <w:tr>
        <w:tc>
          <w:tcPr>
            <w:tcW w:type="dxa" w:w="2948"/>
          </w:tcPr>
          <w:p>
            <w:pPr>
              <w:spacing w:before="0" w:after="0"/>
            </w:pPr>
            <w:r/>
            <w:r>
              <w:rPr>
                <w:b w:val="0"/>
                <w:i w:val="0"/>
                <w:sz w:val="16"/>
              </w:rPr>
              <w:t>Five-year-old fabricator, three good references, bureau score in the top band</w:t>
            </w:r>
          </w:p>
        </w:tc>
        <w:tc>
          <w:tcPr>
            <w:tcW w:type="dxa" w:w="1020"/>
          </w:tcPr>
          <w:p>
            <w:pPr>
              <w:spacing w:before="0" w:after="0"/>
            </w:pPr>
            <w:r/>
            <w:r>
              <w:rPr>
                <w:b w:val="0"/>
                <w:i w:val="0"/>
                <w:sz w:val="16"/>
              </w:rPr>
              <w:t>$40,000</w:t>
            </w:r>
          </w:p>
        </w:tc>
        <w:tc>
          <w:tcPr>
            <w:tcW w:type="dxa" w:w="1701"/>
          </w:tcPr>
          <w:p>
            <w:pPr>
              <w:spacing w:before="0" w:after="0"/>
            </w:pPr>
            <w:r/>
            <w:r>
              <w:rPr>
                <w:b w:val="0"/>
                <w:i w:val="0"/>
                <w:sz w:val="16"/>
              </w:rPr>
              <w:t>$60,000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$40,000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Two-year-old contractor, two references (one slow), bureau score mid band</w:t>
            </w:r>
          </w:p>
        </w:tc>
        <w:tc>
          <w:tcPr>
            <w:tcW w:type="dxa" w:w="1020"/>
          </w:tcPr>
          <w:p>
            <w:pPr>
              <w:spacing w:before="0" w:after="0"/>
            </w:pPr>
            <w:r/>
            <w:r>
              <w:rPr>
                <w:b w:val="0"/>
                <w:i w:val="0"/>
                <w:sz w:val="16"/>
              </w:rPr>
              <w:t>$50,000</w:t>
            </w:r>
          </w:p>
        </w:tc>
        <w:tc>
          <w:tcPr>
            <w:tcW w:type="dxa" w:w="1701"/>
          </w:tcPr>
          <w:p>
            <w:pPr>
              <w:spacing w:before="0" w:after="0"/>
            </w:pPr>
            <w:r/>
            <w:r>
              <w:rPr>
                <w:b w:val="0"/>
                <w:i w:val="0"/>
                <w:sz w:val="16"/>
              </w:rPr>
              <w:t>$20,000</w:t>
            </w:r>
          </w:p>
        </w:tc>
        <w:tc>
          <w:tcPr>
            <w:tcW w:type="dxa" w:w="1474"/>
          </w:tcPr>
          <w:p>
            <w:pPr>
              <w:spacing w:before="0" w:after="0"/>
            </w:pPr>
            <w:r/>
            <w:r>
              <w:rPr>
                <w:b w:val="0"/>
                <w:i w:val="0"/>
                <w:sz w:val="16"/>
              </w:rPr>
              <w:t>Not required</w:t>
            </w:r>
          </w:p>
        </w:tc>
        <w:tc>
          <w:tcPr>
            <w:tcW w:type="dxa" w:w="1020"/>
          </w:tcPr>
          <w:p>
            <w:pPr>
              <w:spacing w:before="0" w:after="0"/>
            </w:pPr>
            <w:r/>
            <w:r>
              <w:rPr>
                <w:b w:val="0"/>
                <w:i w:val="0"/>
                <w:sz w:val="16"/>
              </w:rPr>
              <w:t>$20,000</w:t>
            </w:r>
          </w:p>
        </w:tc>
        <w:tc>
          <w:tcPr>
            <w:tcW w:type="dxa" w:w="1247"/>
          </w:tcPr>
          <w:p>
            <w:pPr>
              <w:spacing w:before="0" w:after="0"/>
            </w:pPr>
            <w:r/>
            <w:r>
              <w:rPr>
                <w:b w:val="0"/>
                <w:i w:val="0"/>
                <w:sz w:val="16"/>
              </w:rPr>
              <w:t>Net 30, review at 6 months</w:t>
            </w:r>
          </w:p>
        </w:tc>
      </w:tr>
      <w:tr>
        <w:tc>
          <w:tcPr>
            <w:tcW w:type="dxa" w:w="2948"/>
          </w:tcPr>
          <w:p>
            <w:pPr>
              <w:spacing w:before="0" w:after="0"/>
            </w:pPr>
            <w:r/>
            <w:r>
              <w:rPr>
                <w:b w:val="0"/>
                <w:i w:val="0"/>
                <w:sz w:val="16"/>
              </w:rPr>
              <w:t>Established distributor, four good references, bureau top band</w:t>
            </w:r>
          </w:p>
        </w:tc>
        <w:tc>
          <w:tcPr>
            <w:tcW w:type="dxa" w:w="1020"/>
          </w:tcPr>
          <w:p>
            <w:pPr>
              <w:spacing w:before="0" w:after="0"/>
            </w:pPr>
            <w:r/>
            <w:r>
              <w:rPr>
                <w:b w:val="0"/>
                <w:i w:val="0"/>
                <w:sz w:val="16"/>
              </w:rPr>
              <w:t>$300,000</w:t>
            </w:r>
          </w:p>
        </w:tc>
        <w:tc>
          <w:tcPr>
            <w:tcW w:type="dxa" w:w="1701"/>
          </w:tcPr>
          <w:p>
            <w:pPr>
              <w:spacing w:before="0" w:after="0"/>
            </w:pPr>
            <w:r/>
            <w:r>
              <w:rPr>
                <w:b w:val="0"/>
                <w:i w:val="0"/>
                <w:sz w:val="16"/>
              </w:rPr>
              <w:t>$300,000</w:t>
            </w:r>
          </w:p>
        </w:tc>
        <w:tc>
          <w:tcPr>
            <w:tcW w:type="dxa" w:w="1474"/>
          </w:tcPr>
          <w:p>
            <w:pPr>
              <w:spacing w:before="0" w:after="0"/>
            </w:pPr>
            <w:r/>
            <w:r>
              <w:rPr>
                <w:b w:val="0"/>
                <w:i w:val="0"/>
                <w:sz w:val="16"/>
              </w:rPr>
              <w:t>Two years reviewed; net worth $2.1M</w:t>
            </w:r>
          </w:p>
        </w:tc>
        <w:tc>
          <w:tcPr>
            <w:tcW w:type="dxa" w:w="1020"/>
          </w:tcPr>
          <w:p>
            <w:pPr>
              <w:spacing w:before="0" w:after="0"/>
            </w:pPr>
            <w:r/>
            <w:r>
              <w:rPr>
                <w:b w:val="0"/>
                <w:i w:val="0"/>
                <w:sz w:val="16"/>
              </w:rPr>
              <w:t>$250,000</w:t>
            </w:r>
          </w:p>
        </w:tc>
        <w:tc>
          <w:tcPr>
            <w:tcW w:type="dxa" w:w="1247"/>
          </w:tcPr>
          <w:p>
            <w:pPr>
              <w:spacing w:before="0" w:after="0"/>
            </w:pPr>
            <w:r/>
            <w:r>
              <w:rPr>
                <w:b w:val="0"/>
                <w:i w:val="0"/>
                <w:sz w:val="16"/>
              </w:rPr>
              <w:t>Net 30</w:t>
            </w:r>
          </w:p>
        </w:tc>
      </w:tr>
      <w:tr>
        <w:tc>
          <w:tcPr>
            <w:tcW w:type="dxa" w:w="2948"/>
          </w:tcPr>
          <w:p>
            <w:pPr>
              <w:spacing w:before="0" w:after="0"/>
            </w:pPr>
            <w:r/>
            <w:r>
              <w:rPr>
                <w:b w:val="0"/>
                <w:i w:val="0"/>
                <w:sz w:val="16"/>
              </w:rPr>
              <w:t>New subsidiary of a listed group</w:t>
            </w:r>
          </w:p>
        </w:tc>
        <w:tc>
          <w:tcPr>
            <w:tcW w:type="dxa" w:w="1020"/>
          </w:tcPr>
          <w:p>
            <w:pPr>
              <w:spacing w:before="0" w:after="0"/>
            </w:pPr>
            <w:r/>
            <w:r>
              <w:rPr>
                <w:b w:val="0"/>
                <w:i w:val="0"/>
                <w:sz w:val="16"/>
              </w:rPr>
              <w:t>$150,000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Parent guarantee supplied</w:t>
            </w:r>
          </w:p>
        </w:tc>
        <w:tc>
          <w:tcPr>
            <w:tcW w:type="dxa" w:w="1020"/>
          </w:tcPr>
          <w:p>
            <w:pPr>
              <w:spacing w:before="0" w:after="0"/>
            </w:pPr>
            <w:r/>
            <w:r>
              <w:rPr>
                <w:b w:val="0"/>
                <w:i w:val="0"/>
                <w:sz w:val="16"/>
              </w:rPr>
              <w:t>$150,000</w:t>
            </w:r>
          </w:p>
        </w:tc>
        <w:tc>
          <w:tcPr>
            <w:tcW w:type="dxa" w:w="1247"/>
          </w:tcPr>
          <w:p>
            <w:pPr>
              <w:spacing w:before="0" w:after="0"/>
            </w:pPr>
            <w:r/>
            <w:r>
              <w:rPr>
                <w:b w:val="0"/>
                <w:i w:val="0"/>
                <w:sz w:val="16"/>
              </w:rPr>
              <w:t>Net 45</w:t>
            </w:r>
          </w:p>
        </w:tc>
      </w:tr>
      <w:tr>
        <w:tc>
          <w:tcPr>
            <w:tcW w:type="dxa" w:w="2948"/>
          </w:tcPr>
          <w:p>
            <w:pPr>
              <w:spacing w:before="0" w:after="0"/>
            </w:pPr>
            <w:r/>
            <w:r>
              <w:rPr>
                <w:b w:val="0"/>
                <w:i w:val="0"/>
                <w:sz w:val="16"/>
              </w:rPr>
              <w:t>Start-up under twelve months</w:t>
            </w:r>
          </w:p>
        </w:tc>
        <w:tc>
          <w:tcPr>
            <w:tcW w:type="dxa" w:w="1020"/>
          </w:tcPr>
          <w:p>
            <w:pPr>
              <w:spacing w:before="0" w:after="0"/>
            </w:pPr>
            <w:r/>
            <w:r>
              <w:rPr>
                <w:b w:val="0"/>
                <w:i w:val="0"/>
                <w:sz w:val="16"/>
              </w:rPr>
              <w:t>$10,000</w:t>
            </w:r>
          </w:p>
        </w:tc>
        <w:tc>
          <w:tcPr>
            <w:tcW w:type="dxa" w:w="1701"/>
          </w:tcPr>
          <w:p>
            <w:pPr>
              <w:spacing w:before="0" w:after="0"/>
            </w:pPr>
            <w:r/>
            <w:r>
              <w:rPr>
                <w:b w:val="0"/>
                <w:i w:val="0"/>
                <w:sz w:val="16"/>
              </w:rPr>
              <w:t>No history</w:t>
            </w:r>
          </w:p>
        </w:tc>
        <w:tc>
          <w:tcPr>
            <w:tcW w:type="dxa" w:w="1474"/>
          </w:tcPr>
          <w:p>
            <w:pPr>
              <w:spacing w:before="0" w:after="0"/>
            </w:pPr>
            <w:r/>
            <w:r>
              <w:rPr>
                <w:b w:val="0"/>
                <w:i w:val="0"/>
                <w:sz w:val="16"/>
              </w:rPr>
              <w:t>Not available</w:t>
            </w:r>
          </w:p>
        </w:tc>
        <w:tc>
          <w:tcPr>
            <w:tcW w:type="dxa" w:w="1020"/>
          </w:tcPr>
          <w:p>
            <w:pPr>
              <w:spacing w:before="0" w:after="0"/>
            </w:pPr>
            <w:r/>
            <w:r>
              <w:rPr>
                <w:b w:val="0"/>
                <w:i w:val="0"/>
                <w:sz w:val="16"/>
              </w:rPr>
              <w:t>Prepayment</w:t>
            </w:r>
          </w:p>
        </w:tc>
        <w:tc>
          <w:tcPr>
            <w:tcW w:type="dxa" w:w="1247"/>
          </w:tcPr>
          <w:p>
            <w:pPr>
              <w:spacing w:before="0" w:after="0"/>
            </w:pPr>
            <w:r/>
            <w:r>
              <w:rPr>
                <w:b w:val="0"/>
                <w:i w:val="0"/>
                <w:sz w:val="16"/>
              </w:rPr>
              <w:t>Card or prepayment; reapply at 12 months</w:t>
            </w:r>
          </w:p>
        </w:tc>
      </w:tr>
    </w:tbl>
    <w:p>
      <w:pPr>
        <w:spacing w:before="0" w:after="80"/>
      </w:pPr>
    </w:p>
    <w:p>
      <w:pPr>
        <w:spacing w:before="0" w:after="120" w:line="276" w:lineRule="auto"/>
      </w:pPr>
      <w:r>
        <w:rPr>
          <w:b w:val="0"/>
          <w:i/>
          <w:sz w:val="17"/>
        </w:rPr>
        <w:t>Examples are illustrative and do not relate to any applicant.</w:t>
      </w:r>
    </w:p>
    <w:p>
      <w:pPr>
        <w:spacing w:before="160" w:after="60" w:line="276" w:lineRule="auto"/>
      </w:pPr>
      <w:r>
        <w:rPr>
          <w:b/>
          <w:i w:val="0"/>
          <w:sz w:val="21"/>
        </w:rPr>
        <w:t>1.14  Guarantees</w:t>
      </w:r>
    </w:p>
    <w:p>
      <w:pPr>
        <w:spacing w:before="0" w:after="80" w:line="276" w:lineRule="auto"/>
      </w:pPr>
      <w:r>
        <w:rPr>
          <w:b w:val="0"/>
          <w:i w:val="0"/>
          <w:sz w:val="21"/>
        </w:rPr>
        <w:t>Where a personal or parent-company guarantee is required, the guarantor signs the Company's standard guarantee, which is a continuing guarantee of all amounts due from the customer, unlimited in amount unless a cap is agreed, and terminable on ninety days' written notice as to future obligations only. A personal guarantor is asked for a personal financial statement and consents to a consumer credit enquiry. The guarantee form is reproduced in Section 5.3.</w:t>
      </w:r>
    </w:p>
    <w:p>
      <w:pPr>
        <w:spacing w:before="160" w:after="60" w:line="276" w:lineRule="auto"/>
      </w:pPr>
      <w:r>
        <w:rPr>
          <w:b/>
          <w:i w:val="0"/>
          <w:sz w:val="21"/>
        </w:rPr>
        <w:t>1.15  Anti-corruption and gifts</w:t>
      </w:r>
    </w:p>
    <w:p>
      <w:pPr>
        <w:spacing w:before="0" w:after="80" w:line="276" w:lineRule="auto"/>
      </w:pPr>
      <w:r>
        <w:rPr>
          <w:b w:val="0"/>
          <w:i w:val="0"/>
          <w:sz w:val="21"/>
        </w:rPr>
        <w:t>The Company's employees may not offer or accept anything of value to obtain or retain business other than modest promotional items and reasonable hospitality recorded in the gifts register. Customers are asked to observe the same standard in their dealings with the Company's staff. A customer that offers an improper inducement to an employee of the Company will have its account closed. Concerns may be reported in confidence to the Company's ethics line, whose number is in the contact directory.</w:t>
      </w:r>
    </w:p>
    <w:p>
      <w:pPr>
        <w:spacing w:before="160" w:after="60" w:line="276" w:lineRule="auto"/>
      </w:pPr>
      <w:r>
        <w:rPr>
          <w:b/>
          <w:i w:val="0"/>
          <w:sz w:val="21"/>
        </w:rPr>
        <w:t>1.16  Payment behaviour scoring</w:t>
      </w:r>
    </w:p>
    <w:p>
      <w:pPr>
        <w:spacing w:before="0" w:after="80" w:line="276" w:lineRule="auto"/>
      </w:pPr>
      <w:r>
        <w:rPr>
          <w:b w:val="0"/>
          <w:i w:val="0"/>
          <w:sz w:val="21"/>
        </w:rPr>
        <w:t>Once an account is open, the Credit Department scores its payment behaviour monthly from the accounts receivable ledger. The score drives the annual limit review, the release of held orders, and the offer of longer terms or a higher pricing tier. It is an internal measure and is not reported to bureaus, although the underlying payment experience is.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Component</w:t>
            </w:r>
          </w:p>
        </w:tc>
        <w:tc>
          <w:tcPr>
            <w:tcW w:type="dxa" w:w="3515"/>
            <w:vAlign w:val="bottom"/>
            <w:shd w:val="clear" w:color="auto" w:fill="D9D9D9"/>
          </w:tcPr>
          <w:p>
            <w:pPr>
              <w:spacing w:before="0" w:after="0"/>
            </w:pPr>
            <w:r/>
            <w:r>
              <w:rPr>
                <w:b/>
                <w:i w:val="0"/>
                <w:sz w:val="14"/>
              </w:rPr>
              <w:t>Measure</w:t>
            </w:r>
          </w:p>
        </w:tc>
        <w:tc>
          <w:tcPr>
            <w:tcW w:type="dxa" w:w="794"/>
            <w:vAlign w:val="bottom"/>
            <w:shd w:val="clear" w:color="auto" w:fill="D9D9D9"/>
          </w:tcPr>
          <w:p>
            <w:pPr>
              <w:spacing w:before="0" w:after="0"/>
            </w:pPr>
            <w:r/>
            <w:r>
              <w:rPr>
                <w:b/>
                <w:i w:val="0"/>
                <w:sz w:val="14"/>
              </w:rPr>
              <w:t>Weight</w:t>
            </w:r>
          </w:p>
        </w:tc>
        <w:tc>
          <w:tcPr>
            <w:tcW w:type="dxa" w:w="3402"/>
            <w:vAlign w:val="bottom"/>
            <w:shd w:val="clear" w:color="auto" w:fill="D9D9D9"/>
          </w:tcPr>
          <w:p>
            <w:pPr>
              <w:spacing w:before="0" w:after="0"/>
            </w:pPr>
            <w:r/>
            <w:r>
              <w:rPr>
                <w:b/>
                <w:i w:val="0"/>
                <w:sz w:val="14"/>
              </w:rPr>
              <w:t>Scoring</w:t>
            </w:r>
          </w:p>
        </w:tc>
      </w:tr>
      <w:tr>
        <w:tc>
          <w:tcPr>
            <w:tcW w:type="dxa" w:w="1701"/>
          </w:tcPr>
          <w:p>
            <w:pPr>
              <w:spacing w:before="0" w:after="0"/>
            </w:pPr>
            <w:r/>
            <w:r>
              <w:rPr>
                <w:b w:val="0"/>
                <w:i w:val="0"/>
                <w:sz w:val="16"/>
              </w:rPr>
              <w:t>Days beyond terms</w:t>
            </w:r>
          </w:p>
        </w:tc>
        <w:tc>
          <w:tcPr>
            <w:tcW w:type="dxa" w:w="3515"/>
          </w:tcPr>
          <w:p>
            <w:pPr>
              <w:spacing w:before="0" w:after="0"/>
            </w:pPr>
            <w:r/>
            <w:r>
              <w:rPr>
                <w:b w:val="0"/>
                <w:i w:val="0"/>
                <w:sz w:val="16"/>
              </w:rPr>
              <w:t>Average days paid after due date, weighted by invoice value, last 6 months</w:t>
            </w:r>
          </w:p>
        </w:tc>
        <w:tc>
          <w:tcPr>
            <w:tcW w:type="dxa" w:w="794"/>
          </w:tcPr>
          <w:p>
            <w:pPr>
              <w:spacing w:before="0" w:after="0"/>
            </w:pPr>
            <w:r/>
            <w:r>
              <w:rPr>
                <w:b w:val="0"/>
                <w:i w:val="0"/>
                <w:sz w:val="16"/>
              </w:rPr>
              <w:t>40%</w:t>
            </w:r>
          </w:p>
        </w:tc>
        <w:tc>
          <w:tcPr>
            <w:tcW w:type="dxa" w:w="3402"/>
          </w:tcPr>
          <w:p>
            <w:pPr>
              <w:spacing w:before="0" w:after="0"/>
            </w:pPr>
            <w:r/>
            <w:r>
              <w:rPr>
                <w:b w:val="0"/>
                <w:i w:val="0"/>
                <w:sz w:val="16"/>
              </w:rPr>
              <w:t>0 days = 40; each day beyond terms deducts 2 points to a floor of 0</w:t>
            </w:r>
          </w:p>
        </w:tc>
      </w:tr>
      <w:tr>
        <w:tc>
          <w:tcPr>
            <w:tcW w:type="dxa" w:w="1701"/>
          </w:tcPr>
          <w:p>
            <w:pPr>
              <w:spacing w:before="0" w:after="0"/>
            </w:pPr>
            <w:r/>
            <w:r>
              <w:rPr>
                <w:b w:val="0"/>
                <w:i w:val="0"/>
                <w:sz w:val="16"/>
              </w:rPr>
              <w:t>Consistency</w:t>
            </w:r>
          </w:p>
        </w:tc>
        <w:tc>
          <w:tcPr>
            <w:tcW w:type="dxa" w:w="3515"/>
          </w:tcPr>
          <w:p>
            <w:pPr>
              <w:spacing w:before="0" w:after="0"/>
            </w:pPr>
            <w:r/>
            <w:r>
              <w:rPr>
                <w:b w:val="0"/>
                <w:i w:val="0"/>
                <w:sz w:val="16"/>
              </w:rPr>
              <w:t>Standard deviation of days beyond terms</w:t>
            </w:r>
          </w:p>
        </w:tc>
        <w:tc>
          <w:tcPr>
            <w:tcW w:type="dxa" w:w="794"/>
          </w:tcPr>
          <w:p>
            <w:pPr>
              <w:spacing w:before="0" w:after="0"/>
            </w:pPr>
            <w:r/>
            <w:r>
              <w:rPr>
                <w:b w:val="0"/>
                <w:i w:val="0"/>
                <w:sz w:val="16"/>
              </w:rPr>
              <w:t>15%</w:t>
            </w:r>
          </w:p>
        </w:tc>
        <w:tc>
          <w:tcPr>
            <w:tcW w:type="dxa" w:w="3402"/>
          </w:tcPr>
          <w:p>
            <w:pPr>
              <w:spacing w:before="0" w:after="0"/>
            </w:pPr>
            <w:r/>
            <w:r>
              <w:rPr>
                <w:b w:val="0"/>
                <w:i w:val="0"/>
                <w:sz w:val="16"/>
              </w:rPr>
              <w:t>Under 5 days = 15; 5–15 days = 8; over 15 days = 0</w:t>
            </w:r>
          </w:p>
        </w:tc>
      </w:tr>
      <w:tr>
        <w:tc>
          <w:tcPr>
            <w:tcW w:type="dxa" w:w="1701"/>
          </w:tcPr>
          <w:p>
            <w:pPr>
              <w:spacing w:before="0" w:after="0"/>
            </w:pPr>
            <w:r/>
            <w:r>
              <w:rPr>
                <w:b w:val="0"/>
                <w:i w:val="0"/>
                <w:sz w:val="16"/>
              </w:rPr>
              <w:t>Disputes</w:t>
            </w:r>
          </w:p>
        </w:tc>
        <w:tc>
          <w:tcPr>
            <w:tcW w:type="dxa" w:w="3515"/>
          </w:tcPr>
          <w:p>
            <w:pPr>
              <w:spacing w:before="0" w:after="0"/>
            </w:pPr>
            <w:r/>
            <w:r>
              <w:rPr>
                <w:b w:val="0"/>
                <w:i w:val="0"/>
                <w:sz w:val="16"/>
              </w:rPr>
              <w:t>Disputed invoices as a share of invoices issued</w:t>
            </w:r>
          </w:p>
        </w:tc>
        <w:tc>
          <w:tcPr>
            <w:tcW w:type="dxa" w:w="794"/>
          </w:tcPr>
          <w:p>
            <w:pPr>
              <w:spacing w:before="0" w:after="0"/>
            </w:pPr>
            <w:r/>
            <w:r>
              <w:rPr>
                <w:b w:val="0"/>
                <w:i w:val="0"/>
                <w:sz w:val="16"/>
              </w:rPr>
              <w:t>15%</w:t>
            </w:r>
          </w:p>
        </w:tc>
        <w:tc>
          <w:tcPr>
            <w:tcW w:type="dxa" w:w="3402"/>
          </w:tcPr>
          <w:p>
            <w:pPr>
              <w:spacing w:before="0" w:after="0"/>
            </w:pPr>
            <w:r/>
            <w:r>
              <w:rPr>
                <w:b w:val="0"/>
                <w:i w:val="0"/>
                <w:sz w:val="16"/>
              </w:rPr>
              <w:t>Under 2% = 15; 2–5% = 8; over 5% = 0</w:t>
            </w:r>
          </w:p>
        </w:tc>
      </w:tr>
      <w:tr>
        <w:tc>
          <w:tcPr>
            <w:tcW w:type="dxa" w:w="1701"/>
          </w:tcPr>
          <w:p>
            <w:pPr>
              <w:spacing w:before="0" w:after="0"/>
            </w:pPr>
            <w:r/>
            <w:r>
              <w:rPr>
                <w:b w:val="0"/>
                <w:i w:val="0"/>
                <w:sz w:val="16"/>
              </w:rPr>
              <w:t>Utilisation</w:t>
            </w:r>
          </w:p>
        </w:tc>
        <w:tc>
          <w:tcPr>
            <w:tcW w:type="dxa" w:w="3515"/>
          </w:tcPr>
          <w:p>
            <w:pPr>
              <w:spacing w:before="0" w:after="0"/>
            </w:pPr>
            <w:r/>
            <w:r>
              <w:rPr>
                <w:b w:val="0"/>
                <w:i w:val="0"/>
                <w:sz w:val="16"/>
              </w:rPr>
              <w:t>Peak balance as a share of the limit</w:t>
            </w:r>
          </w:p>
        </w:tc>
        <w:tc>
          <w:tcPr>
            <w:tcW w:type="dxa" w:w="794"/>
          </w:tcPr>
          <w:p>
            <w:pPr>
              <w:spacing w:before="0" w:after="0"/>
            </w:pPr>
            <w:r/>
            <w:r>
              <w:rPr>
                <w:b w:val="0"/>
                <w:i w:val="0"/>
                <w:sz w:val="16"/>
              </w:rPr>
              <w:t>15%</w:t>
            </w:r>
          </w:p>
        </w:tc>
        <w:tc>
          <w:tcPr>
            <w:tcW w:type="dxa" w:w="3402"/>
          </w:tcPr>
          <w:p>
            <w:pPr>
              <w:spacing w:before="0" w:after="0"/>
            </w:pPr>
            <w:r/>
            <w:r>
              <w:rPr>
                <w:b w:val="0"/>
                <w:i w:val="0"/>
                <w:sz w:val="16"/>
              </w:rPr>
              <w:t>Under 80% = 15; 80–100% = 8; held orders = 0</w:t>
            </w:r>
          </w:p>
        </w:tc>
      </w:tr>
      <w:tr>
        <w:tc>
          <w:tcPr>
            <w:tcW w:type="dxa" w:w="1701"/>
          </w:tcPr>
          <w:p>
            <w:pPr>
              <w:spacing w:before="0" w:after="0"/>
            </w:pPr>
            <w:r/>
            <w:r>
              <w:rPr>
                <w:b w:val="0"/>
                <w:i w:val="0"/>
                <w:sz w:val="16"/>
              </w:rPr>
              <w:t>Returned payments</w:t>
            </w:r>
          </w:p>
        </w:tc>
        <w:tc>
          <w:tcPr>
            <w:tcW w:type="dxa" w:w="3515"/>
          </w:tcPr>
          <w:p>
            <w:pPr>
              <w:spacing w:before="0" w:after="0"/>
            </w:pPr>
            <w:r/>
            <w:r>
              <w:rPr>
                <w:b w:val="0"/>
                <w:i w:val="0"/>
                <w:sz w:val="16"/>
              </w:rPr>
              <w:t>Any returned or reversed payment</w:t>
            </w:r>
          </w:p>
        </w:tc>
        <w:tc>
          <w:tcPr>
            <w:tcW w:type="dxa" w:w="794"/>
          </w:tcPr>
          <w:p>
            <w:pPr>
              <w:spacing w:before="0" w:after="0"/>
            </w:pPr>
            <w:r/>
            <w:r>
              <w:rPr>
                <w:b w:val="0"/>
                <w:i w:val="0"/>
                <w:sz w:val="16"/>
              </w:rPr>
              <w:t>15%</w:t>
            </w:r>
          </w:p>
        </w:tc>
        <w:tc>
          <w:tcPr>
            <w:tcW w:type="dxa" w:w="3402"/>
          </w:tcPr>
          <w:p>
            <w:pPr>
              <w:spacing w:before="0" w:after="0"/>
            </w:pPr>
            <w:r/>
            <w:r>
              <w:rPr>
                <w:b w:val="0"/>
                <w:i w:val="0"/>
                <w:sz w:val="16"/>
              </w:rPr>
              <w:t>None = 15; one = 5; more = 0</w:t>
            </w:r>
          </w:p>
        </w:tc>
      </w:tr>
    </w:tbl>
    <w:p>
      <w:pPr>
        <w:spacing w:before="0" w:after="8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474"/>
            <w:vAlign w:val="bottom"/>
            <w:shd w:val="clear" w:color="auto" w:fill="D9D9D9"/>
          </w:tcPr>
          <w:p>
            <w:pPr>
              <w:spacing w:before="0" w:after="0"/>
            </w:pPr>
            <w:r/>
            <w:r>
              <w:rPr>
                <w:b/>
                <w:i w:val="0"/>
                <w:sz w:val="14"/>
              </w:rPr>
              <w:t>Score band</w:t>
            </w:r>
          </w:p>
        </w:tc>
        <w:tc>
          <w:tcPr>
            <w:tcW w:type="dxa" w:w="7937"/>
            <w:vAlign w:val="bottom"/>
            <w:shd w:val="clear" w:color="auto" w:fill="D9D9D9"/>
          </w:tcPr>
          <w:p>
            <w:pPr>
              <w:spacing w:before="0" w:after="0"/>
            </w:pPr>
            <w:r/>
            <w:r>
              <w:rPr>
                <w:b/>
                <w:i w:val="0"/>
                <w:sz w:val="14"/>
              </w:rPr>
              <w:t>Treatment</w:t>
            </w:r>
          </w:p>
        </w:tc>
      </w:tr>
      <w:tr>
        <w:tc>
          <w:tcPr>
            <w:tcW w:type="dxa" w:w="1474"/>
          </w:tcPr>
          <w:p>
            <w:pPr>
              <w:spacing w:before="0" w:after="0"/>
            </w:pPr>
            <w:r/>
            <w:r>
              <w:rPr>
                <w:b w:val="0"/>
                <w:i w:val="0"/>
                <w:sz w:val="16"/>
              </w:rPr>
              <w:t>85–100</w:t>
            </w:r>
          </w:p>
        </w:tc>
        <w:tc>
          <w:tcPr>
            <w:tcW w:type="dxa" w:w="7937"/>
          </w:tcPr>
          <w:p>
            <w:pPr>
              <w:spacing w:before="0" w:after="0"/>
            </w:pPr>
            <w:r/>
            <w:r>
              <w:rPr>
                <w:b w:val="0"/>
                <w:i w:val="0"/>
                <w:sz w:val="16"/>
              </w:rPr>
              <w:t>Eligible for limit increase on request without new financials up to double the current limit; Net 45 available; held orders released automatically</w:t>
            </w:r>
          </w:p>
        </w:tc>
      </w:tr>
      <w:tr>
        <w:tc>
          <w:tcPr>
            <w:tcW w:type="dxa" w:w="1474"/>
          </w:tcPr>
          <w:p>
            <w:pPr>
              <w:spacing w:before="0" w:after="0"/>
            </w:pPr>
            <w:r/>
            <w:r>
              <w:rPr>
                <w:b w:val="0"/>
                <w:i w:val="0"/>
                <w:sz w:val="16"/>
              </w:rPr>
              <w:t>65–84</w:t>
            </w:r>
          </w:p>
        </w:tc>
        <w:tc>
          <w:tcPr>
            <w:tcW w:type="dxa" w:w="7937"/>
          </w:tcPr>
          <w:p>
            <w:pPr>
              <w:spacing w:before="0" w:after="0"/>
            </w:pPr>
            <w:r/>
            <w:r>
              <w:rPr>
                <w:b w:val="0"/>
                <w:i w:val="0"/>
                <w:sz w:val="16"/>
              </w:rPr>
              <w:t>Standard treatment; limit review at anniversary</w:t>
            </w:r>
          </w:p>
        </w:tc>
      </w:tr>
      <w:tr>
        <w:tc>
          <w:tcPr>
            <w:tcW w:type="dxa" w:w="1474"/>
          </w:tcPr>
          <w:p>
            <w:pPr>
              <w:spacing w:before="0" w:after="0"/>
            </w:pPr>
            <w:r/>
            <w:r>
              <w:rPr>
                <w:b w:val="0"/>
                <w:i w:val="0"/>
                <w:sz w:val="16"/>
              </w:rPr>
              <w:t>45–64</w:t>
            </w:r>
          </w:p>
        </w:tc>
        <w:tc>
          <w:tcPr>
            <w:tcW w:type="dxa" w:w="7937"/>
          </w:tcPr>
          <w:p>
            <w:pPr>
              <w:spacing w:before="0" w:after="0"/>
            </w:pPr>
            <w:r/>
            <w:r>
              <w:rPr>
                <w:b w:val="0"/>
                <w:i w:val="0"/>
                <w:sz w:val="16"/>
              </w:rPr>
              <w:t>Limit frozen; held orders released by the Credit Manager; review in 6 months</w:t>
            </w:r>
          </w:p>
        </w:tc>
      </w:tr>
      <w:tr>
        <w:tc>
          <w:tcPr>
            <w:tcW w:type="dxa" w:w="1474"/>
          </w:tcPr>
          <w:p>
            <w:pPr>
              <w:spacing w:before="0" w:after="0"/>
            </w:pPr>
            <w:r/>
            <w:r>
              <w:rPr>
                <w:b w:val="0"/>
                <w:i w:val="0"/>
                <w:sz w:val="16"/>
              </w:rPr>
              <w:t>Under 45</w:t>
            </w:r>
          </w:p>
        </w:tc>
        <w:tc>
          <w:tcPr>
            <w:tcW w:type="dxa" w:w="7937"/>
          </w:tcPr>
          <w:p>
            <w:pPr>
              <w:spacing w:before="0" w:after="0"/>
            </w:pPr>
            <w:r/>
            <w:r>
              <w:rPr>
                <w:b w:val="0"/>
                <w:i w:val="0"/>
                <w:sz w:val="16"/>
              </w:rPr>
              <w:t>Limit reduced; new orders against payment until the score recovers for 3 consecutive months</w:t>
            </w:r>
          </w:p>
        </w:tc>
      </w:tr>
    </w:tbl>
    <w:p>
      <w:pPr>
        <w:spacing w:before="0" w:after="80"/>
      </w:pPr>
    </w:p>
    <w:p>
      <w:r>
        <w:br w:type="page"/>
      </w:r>
    </w:p>
    <w:p>
      <w:pPr>
        <w:spacing w:before="120" w:after="120" w:line="276" w:lineRule="auto"/>
      </w:pPr>
      <w:r>
        <w:rPr>
          <w:b/>
          <w:i w:val="0"/>
          <w:sz w:val="26"/>
        </w:rPr>
        <w:t>Section 2.  Onboarding Procedure</w:t>
      </w:r>
    </w:p>
    <w:p>
      <w:pPr>
        <w:spacing w:before="160" w:after="60" w:line="276" w:lineRule="auto"/>
      </w:pPr>
      <w:r>
        <w:rPr>
          <w:b/>
          <w:i w:val="0"/>
          <w:sz w:val="21"/>
        </w:rPr>
        <w:t>2.1  Steps and timing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Step</w:t>
            </w:r>
          </w:p>
        </w:tc>
        <w:tc>
          <w:tcPr>
            <w:tcW w:type="dxa" w:w="1928"/>
            <w:vAlign w:val="bottom"/>
            <w:shd w:val="clear" w:color="auto" w:fill="D9D9D9"/>
          </w:tcPr>
          <w:p>
            <w:pPr>
              <w:spacing w:before="0" w:after="0"/>
            </w:pPr>
            <w:r/>
            <w:r>
              <w:rPr>
                <w:b/>
                <w:i w:val="0"/>
                <w:sz w:val="14"/>
              </w:rPr>
              <w:t>Who</w:t>
            </w:r>
          </w:p>
        </w:tc>
        <w:tc>
          <w:tcPr>
            <w:tcW w:type="dxa" w:w="5216"/>
            <w:vAlign w:val="bottom"/>
            <w:shd w:val="clear" w:color="auto" w:fill="D9D9D9"/>
          </w:tcPr>
          <w:p>
            <w:pPr>
              <w:spacing w:before="0" w:after="0"/>
            </w:pPr>
            <w:r/>
            <w:r>
              <w:rPr>
                <w:b/>
                <w:i w:val="0"/>
                <w:sz w:val="14"/>
              </w:rPr>
              <w:t>What happens</w:t>
            </w:r>
          </w:p>
        </w:tc>
        <w:tc>
          <w:tcPr>
            <w:tcW w:type="dxa" w:w="1587"/>
            <w:vAlign w:val="bottom"/>
            <w:shd w:val="clear" w:color="auto" w:fill="D9D9D9"/>
          </w:tcPr>
          <w:p>
            <w:pPr>
              <w:spacing w:before="0" w:after="0"/>
            </w:pPr>
            <w:r/>
            <w:r>
              <w:rPr>
                <w:b/>
                <w:i w:val="0"/>
                <w:sz w:val="14"/>
              </w:rPr>
              <w:t>Target</w:t>
            </w:r>
          </w:p>
        </w:tc>
      </w:tr>
      <w:tr>
        <w:tc>
          <w:tcPr>
            <w:tcW w:type="dxa" w:w="680"/>
          </w:tcPr>
          <w:p>
            <w:pPr>
              <w:spacing w:before="0" w:after="0"/>
            </w:pPr>
            <w:r/>
            <w:r>
              <w:rPr>
                <w:b w:val="0"/>
                <w:i w:val="0"/>
                <w:sz w:val="16"/>
              </w:rPr>
              <w:t>1</w:t>
            </w:r>
          </w:p>
        </w:tc>
        <w:tc>
          <w:tcPr>
            <w:tcW w:type="dxa" w:w="1928"/>
          </w:tcPr>
          <w:p>
            <w:pPr>
              <w:spacing w:before="0" w:after="0"/>
            </w:pPr>
            <w:r/>
            <w:r>
              <w:rPr>
                <w:b w:val="0"/>
                <w:i w:val="0"/>
                <w:sz w:val="16"/>
              </w:rPr>
              <w:t>Applicant</w:t>
            </w:r>
          </w:p>
        </w:tc>
        <w:tc>
          <w:tcPr>
            <w:tcW w:type="dxa" w:w="5216"/>
          </w:tcPr>
          <w:p>
            <w:pPr>
              <w:spacing w:before="0" w:after="0"/>
            </w:pPr>
            <w:r/>
            <w:r>
              <w:rPr>
                <w:b w:val="0"/>
                <w:i w:val="0"/>
                <w:sz w:val="16"/>
              </w:rPr>
              <w:t>Completes the credit application (Section 4) and gathers the documents in 2.3</w:t>
            </w:r>
          </w:p>
        </w:tc>
        <w:tc>
          <w:tcPr>
            <w:tcW w:type="dxa" w:w="1587"/>
          </w:tcPr>
          <w:p>
            <w:pPr>
              <w:spacing w:before="0" w:after="0"/>
            </w:pPr>
            <w:r/>
            <w:r>
              <w:rPr>
                <w:b w:val="0"/>
                <w:i w:val="0"/>
                <w:sz w:val="16"/>
              </w:rPr>
              <w:t>—</w:t>
            </w:r>
          </w:p>
        </w:tc>
      </w:tr>
      <w:tr>
        <w:tc>
          <w:tcPr>
            <w:tcW w:type="dxa" w:w="680"/>
          </w:tcPr>
          <w:p>
            <w:pPr>
              <w:spacing w:before="0" w:after="0"/>
            </w:pPr>
            <w:r/>
            <w:r>
              <w:rPr>
                <w:b w:val="0"/>
                <w:i w:val="0"/>
                <w:sz w:val="16"/>
              </w:rPr>
              <w:t>2</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Checks the application for completeness and forwards it to Credit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3</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Sends trade and bank reference requests (Section 5) and orders the bureau report</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4</w:t>
            </w:r>
          </w:p>
        </w:tc>
        <w:tc>
          <w:tcPr>
            <w:tcW w:type="dxa" w:w="1928"/>
          </w:tcPr>
          <w:p>
            <w:pPr>
              <w:spacing w:before="0" w:after="0"/>
            </w:pPr>
            <w:r/>
            <w:r>
              <w:rPr>
                <w:b w:val="0"/>
                <w:i w:val="0"/>
                <w:sz w:val="16"/>
              </w:rPr>
              <w:t>References and bureau</w:t>
            </w:r>
          </w:p>
        </w:tc>
        <w:tc>
          <w:tcPr>
            <w:tcW w:type="dxa" w:w="5216"/>
          </w:tcPr>
          <w:p>
            <w:pPr>
              <w:spacing w:before="0" w:after="0"/>
            </w:pPr>
            <w:r/>
            <w:r>
              <w:rPr>
                <w:b w:val="0"/>
                <w:i w:val="0"/>
                <w:sz w:val="16"/>
              </w:rPr>
              <w:t>Respond</w:t>
            </w:r>
          </w:p>
        </w:tc>
        <w:tc>
          <w:tcPr>
            <w:tcW w:type="dxa" w:w="1587"/>
          </w:tcPr>
          <w:p>
            <w:pPr>
              <w:spacing w:before="0" w:after="0"/>
            </w:pPr>
            <w:r/>
            <w:r>
              <w:rPr>
                <w:b w:val="0"/>
                <w:i w:val="0"/>
                <w:sz w:val="16"/>
              </w:rPr>
              <w:t>3–5 working days</w:t>
            </w:r>
          </w:p>
        </w:tc>
      </w:tr>
      <w:tr>
        <w:tc>
          <w:tcPr>
            <w:tcW w:type="dxa" w:w="680"/>
          </w:tcPr>
          <w:p>
            <w:pPr>
              <w:spacing w:before="0" w:after="0"/>
            </w:pPr>
            <w:r/>
            <w:r>
              <w:rPr>
                <w:b w:val="0"/>
                <w:i w:val="0"/>
                <w:sz w:val="16"/>
              </w:rPr>
              <w:t>5</w:t>
            </w:r>
          </w:p>
        </w:tc>
        <w:tc>
          <w:tcPr>
            <w:tcW w:type="dxa" w:w="1928"/>
          </w:tcPr>
          <w:p>
            <w:pPr>
              <w:spacing w:before="0" w:after="0"/>
            </w:pPr>
            <w:r/>
            <w:r>
              <w:rPr>
                <w:b w:val="0"/>
                <w:i w:val="0"/>
                <w:sz w:val="16"/>
              </w:rPr>
              <w:t>Credit analyst</w:t>
            </w:r>
          </w:p>
        </w:tc>
        <w:tc>
          <w:tcPr>
            <w:tcW w:type="dxa" w:w="5216"/>
          </w:tcPr>
          <w:p>
            <w:pPr>
              <w:spacing w:before="0" w:after="0"/>
            </w:pPr>
            <w:r/>
            <w:r>
              <w:rPr>
                <w:b w:val="0"/>
                <w:i w:val="0"/>
                <w:sz w:val="16"/>
              </w:rPr>
              <w:t>Assesses and recommends a limit and term</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6</w:t>
            </w:r>
          </w:p>
        </w:tc>
        <w:tc>
          <w:tcPr>
            <w:tcW w:type="dxa" w:w="1928"/>
          </w:tcPr>
          <w:p>
            <w:pPr>
              <w:spacing w:before="0" w:after="0"/>
            </w:pPr>
            <w:r/>
            <w:r>
              <w:rPr>
                <w:b w:val="0"/>
                <w:i w:val="0"/>
                <w:sz w:val="16"/>
              </w:rPr>
              <w:t>Approver</w:t>
            </w:r>
          </w:p>
        </w:tc>
        <w:tc>
          <w:tcPr>
            <w:tcW w:type="dxa" w:w="5216"/>
          </w:tcPr>
          <w:p>
            <w:pPr>
              <w:spacing w:before="0" w:after="0"/>
            </w:pPr>
            <w:r/>
            <w:r>
              <w:rPr>
                <w:b w:val="0"/>
                <w:i w:val="0"/>
                <w:sz w:val="16"/>
              </w:rPr>
              <w:t>Approves within delegated authority</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7</w:t>
            </w:r>
          </w:p>
        </w:tc>
        <w:tc>
          <w:tcPr>
            <w:tcW w:type="dxa" w:w="1928"/>
          </w:tcPr>
          <w:p>
            <w:pPr>
              <w:spacing w:before="0" w:after="0"/>
            </w:pPr>
            <w:r/>
            <w:r>
              <w:rPr>
                <w:b w:val="0"/>
                <w:i w:val="0"/>
                <w:sz w:val="16"/>
              </w:rPr>
              <w:t>Accounts</w:t>
            </w:r>
          </w:p>
        </w:tc>
        <w:tc>
          <w:tcPr>
            <w:tcW w:type="dxa" w:w="5216"/>
          </w:tcPr>
          <w:p>
            <w:pPr>
              <w:spacing w:before="0" w:after="0"/>
            </w:pPr>
            <w:r/>
            <w:r>
              <w:rPr>
                <w:b w:val="0"/>
                <w:i w:val="0"/>
                <w:sz w:val="16"/>
              </w:rPr>
              <w:t>Creates the account record, sets the limit and term, issues the welcome letter</w:t>
            </w:r>
          </w:p>
        </w:tc>
        <w:tc>
          <w:tcPr>
            <w:tcW w:type="dxa" w:w="1587"/>
          </w:tcPr>
          <w:p>
            <w:pPr>
              <w:spacing w:before="0" w:after="0"/>
            </w:pPr>
            <w:r/>
            <w:r>
              <w:rPr>
                <w:b w:val="0"/>
                <w:i w:val="0"/>
                <w:sz w:val="16"/>
              </w:rPr>
              <w:t>1 working day</w:t>
            </w:r>
          </w:p>
        </w:tc>
      </w:tr>
      <w:tr>
        <w:tc>
          <w:tcPr>
            <w:tcW w:type="dxa" w:w="680"/>
          </w:tcPr>
          <w:p>
            <w:pPr>
              <w:spacing w:before="0" w:after="0"/>
            </w:pPr>
            <w:r/>
            <w:r>
              <w:rPr>
                <w:b w:val="0"/>
                <w:i w:val="0"/>
                <w:sz w:val="16"/>
              </w:rPr>
              <w:t>8</w:t>
            </w:r>
          </w:p>
        </w:tc>
        <w:tc>
          <w:tcPr>
            <w:tcW w:type="dxa" w:w="1928"/>
          </w:tcPr>
          <w:p>
            <w:pPr>
              <w:spacing w:before="0" w:after="0"/>
            </w:pPr>
            <w:r/>
            <w:r>
              <w:rPr>
                <w:b w:val="0"/>
                <w:i w:val="0"/>
                <w:sz w:val="16"/>
              </w:rPr>
              <w:t>Account manager</w:t>
            </w:r>
          </w:p>
        </w:tc>
        <w:tc>
          <w:tcPr>
            <w:tcW w:type="dxa" w:w="5216"/>
          </w:tcPr>
          <w:p>
            <w:pPr>
              <w:spacing w:before="0" w:after="0"/>
            </w:pPr>
            <w:r/>
            <w:r>
              <w:rPr>
                <w:b w:val="0"/>
                <w:i w:val="0"/>
                <w:sz w:val="16"/>
              </w:rPr>
              <w:t>Confirms pricing tier and delivery arrangements with the customer</w:t>
            </w:r>
          </w:p>
        </w:tc>
        <w:tc>
          <w:tcPr>
            <w:tcW w:type="dxa" w:w="1587"/>
          </w:tcPr>
          <w:p>
            <w:pPr>
              <w:spacing w:before="0" w:after="0"/>
            </w:pPr>
            <w:r/>
            <w:r>
              <w:rPr>
                <w:b w:val="0"/>
                <w:i w:val="0"/>
                <w:sz w:val="16"/>
              </w:rPr>
              <w:t>—</w:t>
            </w:r>
          </w:p>
        </w:tc>
      </w:tr>
    </w:tbl>
    <w:p>
      <w:pPr>
        <w:spacing w:before="0" w:after="80"/>
      </w:pPr>
    </w:p>
    <w:p>
      <w:pPr>
        <w:spacing w:before="160" w:after="60" w:line="276" w:lineRule="auto"/>
      </w:pPr>
      <w:r>
        <w:rPr>
          <w:b/>
          <w:i w:val="0"/>
          <w:sz w:val="21"/>
        </w:rPr>
        <w:t>2.2  How the account record is created</w:t>
      </w:r>
    </w:p>
    <w:p>
      <w:pPr>
        <w:spacing w:before="0" w:after="80" w:line="276" w:lineRule="auto"/>
      </w:pPr>
      <w:r>
        <w:rPr>
          <w:b w:val="0"/>
          <w:i w:val="0"/>
          <w:sz w:val="21"/>
        </w:rPr>
        <w:t>The Accounts team creates the customer record in the customer system from the application form. The record carries the legal name exactly as registered, the account type, the industry classification, the website, the main telephone number, the annual revenue and employee count stated on the application, a one-line description of the business, and the billing address. Every field is taken from the application form; the team does not infer a value the form does not give, and a field the form leaves blank is left blank in the record until the applicant supplies it. Contacts and shipping addresses are added after the account exists.</w:t>
      </w:r>
    </w:p>
    <w:p>
      <w:pPr>
        <w:spacing w:before="160" w:after="60" w:line="276" w:lineRule="auto"/>
      </w:pPr>
      <w:r>
        <w:rPr>
          <w:b/>
          <w:i w:val="0"/>
          <w:sz w:val="21"/>
        </w:rPr>
        <w:t>2.3  Documents required</w:t>
      </w:r>
    </w:p>
    <w:p>
      <w:pPr>
        <w:spacing w:before="0" w:after="60" w:line="276" w:lineRule="auto"/>
        <w:ind w:left="340" w:hanging="340"/>
      </w:pPr>
      <w:r>
        <w:rPr>
          <w:b w:val="0"/>
          <w:i w:val="0"/>
          <w:sz w:val="21"/>
        </w:rPr>
        <w:t>•</w:t>
        <w:tab/>
        <w:t>The completed and signed credit application.</w:t>
      </w:r>
    </w:p>
    <w:p>
      <w:pPr>
        <w:spacing w:before="0" w:after="60" w:line="276" w:lineRule="auto"/>
        <w:ind w:left="340" w:hanging="340"/>
      </w:pPr>
      <w:r>
        <w:rPr>
          <w:b w:val="0"/>
          <w:i w:val="0"/>
          <w:sz w:val="21"/>
        </w:rPr>
        <w:t>•</w:t>
        <w:tab/>
        <w:t>Evidence of legal existence: certificate of incorporation or formation, or the assumed-name certificate for a sole proprietorship.</w:t>
      </w:r>
    </w:p>
    <w:p>
      <w:pPr>
        <w:spacing w:before="0" w:after="60" w:line="276" w:lineRule="auto"/>
        <w:ind w:left="340" w:hanging="340"/>
      </w:pPr>
      <w:r>
        <w:rPr>
          <w:b w:val="0"/>
          <w:i w:val="0"/>
          <w:sz w:val="21"/>
        </w:rPr>
        <w:t>•</w:t>
        <w:tab/>
        <w:t>Federal tax identification (W-9) and, for resellers, a resale certificate for each state in which goods will be delivered.</w:t>
      </w:r>
    </w:p>
    <w:p>
      <w:pPr>
        <w:spacing w:before="0" w:after="60" w:line="276" w:lineRule="auto"/>
        <w:ind w:left="340" w:hanging="340"/>
      </w:pPr>
      <w:r>
        <w:rPr>
          <w:b w:val="0"/>
          <w:i w:val="0"/>
          <w:sz w:val="21"/>
        </w:rPr>
        <w:t>•</w:t>
        <w:tab/>
        <w:t>Names and contact details of three trade references with whom the applicant has traded on credit for at least six months, and one bank reference.</w:t>
      </w:r>
    </w:p>
    <w:p>
      <w:pPr>
        <w:spacing w:before="0" w:after="60" w:line="276" w:lineRule="auto"/>
        <w:ind w:left="340" w:hanging="340"/>
      </w:pPr>
      <w:r>
        <w:rPr>
          <w:b w:val="0"/>
          <w:i w:val="0"/>
          <w:sz w:val="21"/>
        </w:rPr>
        <w:t>•</w:t>
        <w:tab/>
        <w:t>For a requested limit above one hundred thousand dollars, financial statements for the last two fiscal years.</w:t>
      </w:r>
    </w:p>
    <w:p>
      <w:pPr>
        <w:spacing w:before="0" w:after="60" w:line="276" w:lineRule="auto"/>
        <w:ind w:left="340" w:hanging="340"/>
      </w:pPr>
      <w:r>
        <w:rPr>
          <w:b w:val="0"/>
          <w:i w:val="0"/>
          <w:sz w:val="21"/>
        </w:rPr>
        <w:t>•</w:t>
        <w:tab/>
        <w:t>For a limit above five hundred thousand dollars, the guarantee described in Section 1.4.</w:t>
      </w:r>
    </w:p>
    <w:p>
      <w:pPr>
        <w:spacing w:before="160" w:after="60" w:line="276" w:lineRule="auto"/>
      </w:pPr>
      <w:r>
        <w:rPr>
          <w:b/>
          <w:i w:val="0"/>
          <w:sz w:val="21"/>
        </w:rPr>
        <w:t>2.4  Industry classifications used in the customer system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835"/>
            <w:vAlign w:val="bottom"/>
            <w:shd w:val="clear" w:color="auto" w:fill="D9D9D9"/>
          </w:tcPr>
          <w:p>
            <w:pPr>
              <w:spacing w:before="0" w:after="0"/>
            </w:pPr>
            <w:r/>
            <w:r>
              <w:rPr>
                <w:b/>
                <w:i w:val="0"/>
                <w:sz w:val="14"/>
              </w:rPr>
              <w:t>Classification</w:t>
            </w:r>
          </w:p>
        </w:tc>
        <w:tc>
          <w:tcPr>
            <w:tcW w:type="dxa" w:w="6576"/>
            <w:vAlign w:val="bottom"/>
            <w:shd w:val="clear" w:color="auto" w:fill="D9D9D9"/>
          </w:tcPr>
          <w:p>
            <w:pPr>
              <w:spacing w:before="0" w:after="0"/>
            </w:pPr>
            <w:r/>
            <w:r>
              <w:rPr>
                <w:b/>
                <w:i w:val="0"/>
                <w:sz w:val="14"/>
              </w:rPr>
              <w:t>Typical customers</w:t>
            </w:r>
          </w:p>
        </w:tc>
      </w:tr>
      <w:tr>
        <w:tc>
          <w:tcPr>
            <w:tcW w:type="dxa" w:w="2835"/>
          </w:tcPr>
          <w:p>
            <w:pPr>
              <w:spacing w:before="0" w:after="0"/>
            </w:pPr>
            <w:r/>
            <w:r>
              <w:rPr>
                <w:b w:val="0"/>
                <w:i w:val="0"/>
                <w:sz w:val="16"/>
              </w:rPr>
              <w:t>Aerospace and Defense</w:t>
            </w:r>
          </w:p>
        </w:tc>
        <w:tc>
          <w:tcPr>
            <w:tcW w:type="dxa" w:w="6576"/>
          </w:tcPr>
          <w:p>
            <w:pPr>
              <w:spacing w:before="0" w:after="0"/>
            </w:pPr>
            <w:r/>
            <w:r>
              <w:rPr>
                <w:b w:val="0"/>
                <w:i w:val="0"/>
                <w:sz w:val="16"/>
              </w:rPr>
              <w:t>Airframe and component manufacturers, MRO providers</w:t>
            </w:r>
          </w:p>
        </w:tc>
      </w:tr>
      <w:tr>
        <w:tc>
          <w:tcPr>
            <w:tcW w:type="dxa" w:w="2835"/>
          </w:tcPr>
          <w:p>
            <w:pPr>
              <w:spacing w:before="0" w:after="0"/>
            </w:pPr>
            <w:r/>
            <w:r>
              <w:rPr>
                <w:b w:val="0"/>
                <w:i w:val="0"/>
                <w:sz w:val="16"/>
              </w:rPr>
              <w:t>Automotive</w:t>
            </w:r>
          </w:p>
        </w:tc>
        <w:tc>
          <w:tcPr>
            <w:tcW w:type="dxa" w:w="6576"/>
          </w:tcPr>
          <w:p>
            <w:pPr>
              <w:spacing w:before="0" w:after="0"/>
            </w:pPr>
            <w:r/>
            <w:r>
              <w:rPr>
                <w:b w:val="0"/>
                <w:i w:val="0"/>
                <w:sz w:val="16"/>
              </w:rPr>
              <w:t>Vehicle and parts manufacturers, tier suppliers</w:t>
            </w:r>
          </w:p>
        </w:tc>
      </w:tr>
      <w:tr>
        <w:tc>
          <w:tcPr>
            <w:tcW w:type="dxa" w:w="2835"/>
          </w:tcPr>
          <w:p>
            <w:pPr>
              <w:spacing w:before="0" w:after="0"/>
            </w:pPr>
            <w:r/>
            <w:r>
              <w:rPr>
                <w:b w:val="0"/>
                <w:i w:val="0"/>
                <w:sz w:val="16"/>
              </w:rPr>
              <w:t>Chemicals and Plastics</w:t>
            </w:r>
          </w:p>
        </w:tc>
        <w:tc>
          <w:tcPr>
            <w:tcW w:type="dxa" w:w="6576"/>
          </w:tcPr>
          <w:p>
            <w:pPr>
              <w:spacing w:before="0" w:after="0"/>
            </w:pPr>
            <w:r/>
            <w:r>
              <w:rPr>
                <w:b w:val="0"/>
                <w:i w:val="0"/>
                <w:sz w:val="16"/>
              </w:rPr>
              <w:t>Compounders, moulders, coatings producers</w:t>
            </w:r>
          </w:p>
        </w:tc>
      </w:tr>
      <w:tr>
        <w:tc>
          <w:tcPr>
            <w:tcW w:type="dxa" w:w="2835"/>
          </w:tcPr>
          <w:p>
            <w:pPr>
              <w:spacing w:before="0" w:after="0"/>
            </w:pPr>
            <w:r/>
            <w:r>
              <w:rPr>
                <w:b w:val="0"/>
                <w:i w:val="0"/>
                <w:sz w:val="16"/>
              </w:rPr>
              <w:t>Construction</w:t>
            </w:r>
          </w:p>
        </w:tc>
        <w:tc>
          <w:tcPr>
            <w:tcW w:type="dxa" w:w="6576"/>
          </w:tcPr>
          <w:p>
            <w:pPr>
              <w:spacing w:before="0" w:after="0"/>
            </w:pPr>
            <w:r/>
            <w:r>
              <w:rPr>
                <w:b w:val="0"/>
                <w:i w:val="0"/>
                <w:sz w:val="16"/>
              </w:rPr>
              <w:t>General and specialty contractors, precast producers</w:t>
            </w:r>
          </w:p>
        </w:tc>
      </w:tr>
      <w:tr>
        <w:tc>
          <w:tcPr>
            <w:tcW w:type="dxa" w:w="2835"/>
          </w:tcPr>
          <w:p>
            <w:pPr>
              <w:spacing w:before="0" w:after="0"/>
            </w:pPr>
            <w:r/>
            <w:r>
              <w:rPr>
                <w:b w:val="0"/>
                <w:i w:val="0"/>
                <w:sz w:val="16"/>
              </w:rPr>
              <w:t>Electronics Manufacturing</w:t>
            </w:r>
          </w:p>
        </w:tc>
        <w:tc>
          <w:tcPr>
            <w:tcW w:type="dxa" w:w="6576"/>
          </w:tcPr>
          <w:p>
            <w:pPr>
              <w:spacing w:before="0" w:after="0"/>
            </w:pPr>
            <w:r/>
            <w:r>
              <w:rPr>
                <w:b w:val="0"/>
                <w:i w:val="0"/>
                <w:sz w:val="16"/>
              </w:rPr>
              <w:t>Contract manufacturers, instrument and device makers, connector and cable producers</w:t>
            </w:r>
          </w:p>
        </w:tc>
      </w:tr>
      <w:tr>
        <w:tc>
          <w:tcPr>
            <w:tcW w:type="dxa" w:w="2835"/>
          </w:tcPr>
          <w:p>
            <w:pPr>
              <w:spacing w:before="0" w:after="0"/>
            </w:pPr>
            <w:r/>
            <w:r>
              <w:rPr>
                <w:b w:val="0"/>
                <w:i w:val="0"/>
                <w:sz w:val="16"/>
              </w:rPr>
              <w:t>Energy and Utilities</w:t>
            </w:r>
          </w:p>
        </w:tc>
        <w:tc>
          <w:tcPr>
            <w:tcW w:type="dxa" w:w="6576"/>
          </w:tcPr>
          <w:p>
            <w:pPr>
              <w:spacing w:before="0" w:after="0"/>
            </w:pPr>
            <w:r/>
            <w:r>
              <w:rPr>
                <w:b w:val="0"/>
                <w:i w:val="0"/>
                <w:sz w:val="16"/>
              </w:rPr>
              <w:t>Generation, transmission, water and gas utilities</w:t>
            </w:r>
          </w:p>
        </w:tc>
      </w:tr>
      <w:tr>
        <w:tc>
          <w:tcPr>
            <w:tcW w:type="dxa" w:w="2835"/>
          </w:tcPr>
          <w:p>
            <w:pPr>
              <w:spacing w:before="0" w:after="0"/>
            </w:pPr>
            <w:r/>
            <w:r>
              <w:rPr>
                <w:b w:val="0"/>
                <w:i w:val="0"/>
                <w:sz w:val="16"/>
              </w:rPr>
              <w:t>Food and Beverage</w:t>
            </w:r>
          </w:p>
        </w:tc>
        <w:tc>
          <w:tcPr>
            <w:tcW w:type="dxa" w:w="6576"/>
          </w:tcPr>
          <w:p>
            <w:pPr>
              <w:spacing w:before="0" w:after="0"/>
            </w:pPr>
            <w:r/>
            <w:r>
              <w:rPr>
                <w:b w:val="0"/>
                <w:i w:val="0"/>
                <w:sz w:val="16"/>
              </w:rPr>
              <w:t>Processors, bottlers, packaging lines</w:t>
            </w:r>
          </w:p>
        </w:tc>
      </w:tr>
      <w:tr>
        <w:tc>
          <w:tcPr>
            <w:tcW w:type="dxa" w:w="2835"/>
          </w:tcPr>
          <w:p>
            <w:pPr>
              <w:spacing w:before="0" w:after="0"/>
            </w:pPr>
            <w:r/>
            <w:r>
              <w:rPr>
                <w:b w:val="0"/>
                <w:i w:val="0"/>
                <w:sz w:val="16"/>
              </w:rPr>
              <w:t>Industrial Machinery</w:t>
            </w:r>
          </w:p>
        </w:tc>
        <w:tc>
          <w:tcPr>
            <w:tcW w:type="dxa" w:w="6576"/>
          </w:tcPr>
          <w:p>
            <w:pPr>
              <w:spacing w:before="0" w:after="0"/>
            </w:pPr>
            <w:r/>
            <w:r>
              <w:rPr>
                <w:b w:val="0"/>
                <w:i w:val="0"/>
                <w:sz w:val="16"/>
              </w:rPr>
              <w:t>Machine builders, pumps, compressors, material handling</w:t>
            </w:r>
          </w:p>
        </w:tc>
      </w:tr>
      <w:tr>
        <w:tc>
          <w:tcPr>
            <w:tcW w:type="dxa" w:w="2835"/>
          </w:tcPr>
          <w:p>
            <w:pPr>
              <w:spacing w:before="0" w:after="0"/>
            </w:pPr>
            <w:r/>
            <w:r>
              <w:rPr>
                <w:b w:val="0"/>
                <w:i w:val="0"/>
                <w:sz w:val="16"/>
              </w:rPr>
              <w:t>Medical Devices</w:t>
            </w:r>
          </w:p>
        </w:tc>
        <w:tc>
          <w:tcPr>
            <w:tcW w:type="dxa" w:w="6576"/>
          </w:tcPr>
          <w:p>
            <w:pPr>
              <w:spacing w:before="0" w:after="0"/>
            </w:pPr>
            <w:r/>
            <w:r>
              <w:rPr>
                <w:b w:val="0"/>
                <w:i w:val="0"/>
                <w:sz w:val="16"/>
              </w:rPr>
              <w:t>Device manufacturers and sterile processors</w:t>
            </w:r>
          </w:p>
        </w:tc>
      </w:tr>
      <w:tr>
        <w:tc>
          <w:tcPr>
            <w:tcW w:type="dxa" w:w="2835"/>
          </w:tcPr>
          <w:p>
            <w:pPr>
              <w:spacing w:before="0" w:after="0"/>
            </w:pPr>
            <w:r/>
            <w:r>
              <w:rPr>
                <w:b w:val="0"/>
                <w:i w:val="0"/>
                <w:sz w:val="16"/>
              </w:rPr>
              <w:t>Metals and Mining</w:t>
            </w:r>
          </w:p>
        </w:tc>
        <w:tc>
          <w:tcPr>
            <w:tcW w:type="dxa" w:w="6576"/>
          </w:tcPr>
          <w:p>
            <w:pPr>
              <w:spacing w:before="0" w:after="0"/>
            </w:pPr>
            <w:r/>
            <w:r>
              <w:rPr>
                <w:b w:val="0"/>
                <w:i w:val="0"/>
                <w:sz w:val="16"/>
              </w:rPr>
              <w:t>Foundries, mills, fabricators</w:t>
            </w:r>
          </w:p>
        </w:tc>
      </w:tr>
      <w:tr>
        <w:tc>
          <w:tcPr>
            <w:tcW w:type="dxa" w:w="2835"/>
          </w:tcPr>
          <w:p>
            <w:pPr>
              <w:spacing w:before="0" w:after="0"/>
            </w:pPr>
            <w:r/>
            <w:r>
              <w:rPr>
                <w:b w:val="0"/>
                <w:i w:val="0"/>
                <w:sz w:val="16"/>
              </w:rPr>
              <w:t>Packaging and Distribution</w:t>
            </w:r>
          </w:p>
        </w:tc>
        <w:tc>
          <w:tcPr>
            <w:tcW w:type="dxa" w:w="6576"/>
          </w:tcPr>
          <w:p>
            <w:pPr>
              <w:spacing w:before="0" w:after="0"/>
            </w:pPr>
            <w:r/>
            <w:r>
              <w:rPr>
                <w:b w:val="0"/>
                <w:i w:val="0"/>
                <w:sz w:val="16"/>
              </w:rPr>
              <w:t>Packaging converters, distributors, third-party logistics</w:t>
            </w:r>
          </w:p>
        </w:tc>
      </w:tr>
      <w:tr>
        <w:tc>
          <w:tcPr>
            <w:tcW w:type="dxa" w:w="2835"/>
          </w:tcPr>
          <w:p>
            <w:pPr>
              <w:spacing w:before="0" w:after="0"/>
            </w:pPr>
            <w:r/>
            <w:r>
              <w:rPr>
                <w:b w:val="0"/>
                <w:i w:val="0"/>
                <w:sz w:val="16"/>
              </w:rPr>
              <w:t>Software</w:t>
            </w:r>
          </w:p>
        </w:tc>
        <w:tc>
          <w:tcPr>
            <w:tcW w:type="dxa" w:w="6576"/>
          </w:tcPr>
          <w:p>
            <w:pPr>
              <w:spacing w:before="0" w:after="0"/>
            </w:pPr>
            <w:r/>
            <w:r>
              <w:rPr>
                <w:b w:val="0"/>
                <w:i w:val="0"/>
                <w:sz w:val="16"/>
              </w:rPr>
              <w:t>Software and IT service companies purchasing for facilities</w:t>
            </w:r>
          </w:p>
        </w:tc>
      </w:tr>
      <w:tr>
        <w:tc>
          <w:tcPr>
            <w:tcW w:type="dxa" w:w="2835"/>
          </w:tcPr>
          <w:p>
            <w:pPr>
              <w:spacing w:before="0" w:after="0"/>
            </w:pPr>
            <w:r/>
            <w:r>
              <w:rPr>
                <w:b w:val="0"/>
                <w:i w:val="0"/>
                <w:sz w:val="16"/>
              </w:rPr>
              <w:t>Other</w:t>
            </w:r>
          </w:p>
        </w:tc>
        <w:tc>
          <w:tcPr>
            <w:tcW w:type="dxa" w:w="6576"/>
          </w:tcPr>
          <w:p>
            <w:pPr>
              <w:spacing w:before="0" w:after="0"/>
            </w:pPr>
            <w:r/>
            <w:r>
              <w:rPr>
                <w:b w:val="0"/>
                <w:i w:val="0"/>
                <w:sz w:val="16"/>
              </w:rPr>
              <w:t>Any business not listed above</w:t>
            </w:r>
          </w:p>
        </w:tc>
      </w:tr>
    </w:tbl>
    <w:p>
      <w:pPr>
        <w:spacing w:before="0" w:after="80"/>
      </w:pPr>
    </w:p>
    <w:p>
      <w:pPr>
        <w:spacing w:before="160" w:after="60" w:line="276" w:lineRule="auto"/>
      </w:pPr>
      <w:r>
        <w:rPr>
          <w:b/>
          <w:i w:val="0"/>
          <w:sz w:val="21"/>
        </w:rPr>
        <w:t>2.5  Pricing tiers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247"/>
            <w:vAlign w:val="bottom"/>
            <w:shd w:val="clear" w:color="auto" w:fill="D9D9D9"/>
          </w:tcPr>
          <w:p>
            <w:pPr>
              <w:spacing w:before="0" w:after="0"/>
            </w:pPr>
            <w:r/>
            <w:r>
              <w:rPr>
                <w:b/>
                <w:i w:val="0"/>
                <w:sz w:val="14"/>
              </w:rPr>
              <w:t>Tier</w:t>
            </w:r>
          </w:p>
        </w:tc>
        <w:tc>
          <w:tcPr>
            <w:tcW w:type="dxa" w:w="5896"/>
            <w:vAlign w:val="bottom"/>
            <w:shd w:val="clear" w:color="auto" w:fill="D9D9D9"/>
          </w:tcPr>
          <w:p>
            <w:pPr>
              <w:spacing w:before="0" w:after="0"/>
            </w:pPr>
            <w:r/>
            <w:r>
              <w:rPr>
                <w:b/>
                <w:i w:val="0"/>
                <w:sz w:val="14"/>
              </w:rPr>
              <w:t>Qualification</w:t>
            </w:r>
          </w:p>
        </w:tc>
        <w:tc>
          <w:tcPr>
            <w:tcW w:type="dxa" w:w="2268"/>
            <w:vAlign w:val="bottom"/>
            <w:shd w:val="clear" w:color="auto" w:fill="D9D9D9"/>
          </w:tcPr>
          <w:p>
            <w:pPr>
              <w:spacing w:before="0" w:after="0"/>
            </w:pPr>
            <w:r/>
            <w:r>
              <w:rPr>
                <w:b/>
                <w:i w:val="0"/>
                <w:sz w:val="14"/>
              </w:rPr>
              <w:t>Discount from list</w:t>
            </w:r>
          </w:p>
        </w:tc>
      </w:tr>
      <w:tr>
        <w:tc>
          <w:tcPr>
            <w:tcW w:type="dxa" w:w="1247"/>
          </w:tcPr>
          <w:p>
            <w:pPr>
              <w:spacing w:before="0" w:after="0"/>
            </w:pPr>
            <w:r/>
            <w:r>
              <w:rPr>
                <w:b w:val="0"/>
                <w:i w:val="0"/>
                <w:sz w:val="16"/>
              </w:rPr>
              <w:t>List</w:t>
            </w:r>
          </w:p>
        </w:tc>
        <w:tc>
          <w:tcPr>
            <w:tcW w:type="dxa" w:w="5896"/>
          </w:tcPr>
          <w:p>
            <w:pPr>
              <w:spacing w:before="0" w:after="0"/>
            </w:pPr>
            <w:r/>
            <w:r>
              <w:rPr>
                <w:b w:val="0"/>
                <w:i w:val="0"/>
                <w:sz w:val="16"/>
              </w:rPr>
              <w:t>Prospect accounts and accounts below $25,000 annual purchases</w:t>
            </w:r>
          </w:p>
        </w:tc>
        <w:tc>
          <w:tcPr>
            <w:tcW w:type="dxa" w:w="2268"/>
          </w:tcPr>
          <w:p>
            <w:pPr>
              <w:spacing w:before="0" w:after="0"/>
            </w:pPr>
            <w:r/>
            <w:r>
              <w:rPr>
                <w:b w:val="0"/>
                <w:i w:val="0"/>
                <w:sz w:val="16"/>
              </w:rPr>
              <w:t>0%</w:t>
            </w:r>
          </w:p>
        </w:tc>
      </w:tr>
      <w:tr>
        <w:tc>
          <w:tcPr>
            <w:tcW w:type="dxa" w:w="1247"/>
          </w:tcPr>
          <w:p>
            <w:pPr>
              <w:spacing w:before="0" w:after="0"/>
            </w:pPr>
            <w:r/>
            <w:r>
              <w:rPr>
                <w:b w:val="0"/>
                <w:i w:val="0"/>
                <w:sz w:val="16"/>
              </w:rPr>
              <w:t>Silver</w:t>
            </w:r>
          </w:p>
        </w:tc>
        <w:tc>
          <w:tcPr>
            <w:tcW w:type="dxa" w:w="5896"/>
          </w:tcPr>
          <w:p>
            <w:pPr>
              <w:spacing w:before="0" w:after="0"/>
            </w:pPr>
            <w:r/>
            <w:r>
              <w:rPr>
                <w:b w:val="0"/>
                <w:i w:val="0"/>
                <w:sz w:val="16"/>
              </w:rPr>
              <w:t>Customer accounts with $25,000–$100,000 annual purchases</w:t>
            </w:r>
          </w:p>
        </w:tc>
        <w:tc>
          <w:tcPr>
            <w:tcW w:type="dxa" w:w="2268"/>
          </w:tcPr>
          <w:p>
            <w:pPr>
              <w:spacing w:before="0" w:after="0"/>
            </w:pPr>
            <w:r/>
            <w:r>
              <w:rPr>
                <w:b w:val="0"/>
                <w:i w:val="0"/>
                <w:sz w:val="16"/>
              </w:rPr>
              <w:t>5%</w:t>
            </w:r>
          </w:p>
        </w:tc>
      </w:tr>
      <w:tr>
        <w:tc>
          <w:tcPr>
            <w:tcW w:type="dxa" w:w="1247"/>
          </w:tcPr>
          <w:p>
            <w:pPr>
              <w:spacing w:before="0" w:after="0"/>
            </w:pPr>
            <w:r/>
            <w:r>
              <w:rPr>
                <w:b w:val="0"/>
                <w:i w:val="0"/>
                <w:sz w:val="16"/>
              </w:rPr>
              <w:t>Gold</w:t>
            </w:r>
          </w:p>
        </w:tc>
        <w:tc>
          <w:tcPr>
            <w:tcW w:type="dxa" w:w="5896"/>
          </w:tcPr>
          <w:p>
            <w:pPr>
              <w:spacing w:before="0" w:after="0"/>
            </w:pPr>
            <w:r/>
            <w:r>
              <w:rPr>
                <w:b w:val="0"/>
                <w:i w:val="0"/>
                <w:sz w:val="16"/>
              </w:rPr>
              <w:t>Customer accounts above $100,000, and all Reseller accounts</w:t>
            </w:r>
          </w:p>
        </w:tc>
        <w:tc>
          <w:tcPr>
            <w:tcW w:type="dxa" w:w="2268"/>
          </w:tcPr>
          <w:p>
            <w:pPr>
              <w:spacing w:before="0" w:after="0"/>
            </w:pPr>
            <w:r/>
            <w:r>
              <w:rPr>
                <w:b w:val="0"/>
                <w:i w:val="0"/>
                <w:sz w:val="16"/>
              </w:rPr>
              <w:t>10%</w:t>
            </w:r>
          </w:p>
        </w:tc>
      </w:tr>
      <w:tr>
        <w:tc>
          <w:tcPr>
            <w:tcW w:type="dxa" w:w="1247"/>
          </w:tcPr>
          <w:p>
            <w:pPr>
              <w:spacing w:before="0" w:after="0"/>
            </w:pPr>
            <w:r/>
            <w:r>
              <w:rPr>
                <w:b w:val="0"/>
                <w:i w:val="0"/>
                <w:sz w:val="16"/>
              </w:rPr>
              <w:t>Platinum</w:t>
            </w:r>
          </w:p>
        </w:tc>
        <w:tc>
          <w:tcPr>
            <w:tcW w:type="dxa" w:w="5896"/>
          </w:tcPr>
          <w:p>
            <w:pPr>
              <w:spacing w:before="0" w:after="0"/>
            </w:pPr>
            <w:r/>
            <w:r>
              <w:rPr>
                <w:b w:val="0"/>
                <w:i w:val="0"/>
                <w:sz w:val="16"/>
              </w:rPr>
              <w:t>Key accounts and Partners under a framework agreement</w:t>
            </w:r>
          </w:p>
        </w:tc>
        <w:tc>
          <w:tcPr>
            <w:tcW w:type="dxa" w:w="2268"/>
          </w:tcPr>
          <w:p>
            <w:pPr>
              <w:spacing w:before="0" w:after="0"/>
            </w:pPr>
            <w:r/>
            <w:r>
              <w:rPr>
                <w:b w:val="0"/>
                <w:i w:val="0"/>
                <w:sz w:val="16"/>
              </w:rPr>
              <w:t>Negotiated, 12–18%</w:t>
            </w:r>
          </w:p>
        </w:tc>
      </w:tr>
    </w:tbl>
    <w:p>
      <w:pPr>
        <w:spacing w:before="0" w:after="80"/>
      </w:pPr>
    </w:p>
    <w:p>
      <w:pPr>
        <w:spacing w:before="160" w:after="60" w:line="276" w:lineRule="auto"/>
      </w:pPr>
      <w:r>
        <w:rPr>
          <w:b/>
          <w:i w:val="0"/>
          <w:sz w:val="21"/>
        </w:rPr>
        <w:t>2.6  Sales territories and account management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381"/>
            <w:vAlign w:val="bottom"/>
            <w:shd w:val="clear" w:color="auto" w:fill="D9D9D9"/>
          </w:tcPr>
          <w:p>
            <w:pPr>
              <w:spacing w:before="0" w:after="0"/>
            </w:pPr>
            <w:r/>
            <w:r>
              <w:rPr>
                <w:b/>
                <w:i w:val="0"/>
                <w:sz w:val="14"/>
              </w:rPr>
              <w:t>Territory</w:t>
            </w:r>
          </w:p>
        </w:tc>
        <w:tc>
          <w:tcPr>
            <w:tcW w:type="dxa" w:w="4762"/>
            <w:vAlign w:val="bottom"/>
            <w:shd w:val="clear" w:color="auto" w:fill="D9D9D9"/>
          </w:tcPr>
          <w:p>
            <w:pPr>
              <w:spacing w:before="0" w:after="0"/>
            </w:pPr>
            <w:r/>
            <w:r>
              <w:rPr>
                <w:b/>
                <w:i w:val="0"/>
                <w:sz w:val="14"/>
              </w:rPr>
              <w:t>Coverage</w:t>
            </w:r>
          </w:p>
        </w:tc>
        <w:tc>
          <w:tcPr>
            <w:tcW w:type="dxa" w:w="2268"/>
            <w:vAlign w:val="bottom"/>
            <w:shd w:val="clear" w:color="auto" w:fill="D9D9D9"/>
          </w:tcPr>
          <w:p>
            <w:pPr>
              <w:spacing w:before="0" w:after="0"/>
            </w:pPr>
            <w:r/>
            <w:r>
              <w:rPr>
                <w:b/>
                <w:i w:val="0"/>
                <w:sz w:val="14"/>
              </w:rPr>
              <w:t>Regional Sales Manager</w:t>
            </w:r>
          </w:p>
        </w:tc>
      </w:tr>
      <w:tr>
        <w:tc>
          <w:tcPr>
            <w:tcW w:type="dxa" w:w="2381"/>
          </w:tcPr>
          <w:p>
            <w:pPr>
              <w:spacing w:before="0" w:after="0"/>
            </w:pPr>
            <w:r/>
            <w:r>
              <w:rPr>
                <w:b w:val="0"/>
                <w:i w:val="0"/>
                <w:sz w:val="16"/>
              </w:rPr>
              <w:t>North Texas</w:t>
            </w:r>
          </w:p>
        </w:tc>
        <w:tc>
          <w:tcPr>
            <w:tcW w:type="dxa" w:w="4762"/>
          </w:tcPr>
          <w:p>
            <w:pPr>
              <w:spacing w:before="0" w:after="0"/>
            </w:pPr>
            <w:r/>
            <w:r>
              <w:rPr>
                <w:b w:val="0"/>
                <w:i w:val="0"/>
                <w:sz w:val="16"/>
              </w:rPr>
              <w:t>Dallas–Fort Worth, Denton, Collin, Rockwall and Ellis counties</w:t>
            </w:r>
          </w:p>
        </w:tc>
        <w:tc>
          <w:tcPr>
            <w:tcW w:type="dxa" w:w="2268"/>
          </w:tcPr>
          <w:p>
            <w:pPr>
              <w:spacing w:before="0" w:after="0"/>
            </w:pPr>
            <w:r/>
            <w:r>
              <w:rPr>
                <w:b w:val="0"/>
                <w:i w:val="0"/>
                <w:sz w:val="16"/>
              </w:rPr>
              <w:t>Marcus Bell</w:t>
            </w:r>
          </w:p>
        </w:tc>
      </w:tr>
      <w:tr>
        <w:tc>
          <w:tcPr>
            <w:tcW w:type="dxa" w:w="2381"/>
          </w:tcPr>
          <w:p>
            <w:pPr>
              <w:spacing w:before="0" w:after="0"/>
            </w:pPr>
            <w:r/>
            <w:r>
              <w:rPr>
                <w:b w:val="0"/>
                <w:i w:val="0"/>
                <w:sz w:val="16"/>
              </w:rPr>
              <w:t>Central Texas</w:t>
            </w:r>
          </w:p>
        </w:tc>
        <w:tc>
          <w:tcPr>
            <w:tcW w:type="dxa" w:w="4762"/>
          </w:tcPr>
          <w:p>
            <w:pPr>
              <w:spacing w:before="0" w:after="0"/>
            </w:pPr>
            <w:r/>
            <w:r>
              <w:rPr>
                <w:b w:val="0"/>
                <w:i w:val="0"/>
                <w:sz w:val="16"/>
              </w:rPr>
              <w:t>Austin, Waco, Killeen, Temple, Round Rock</w:t>
            </w:r>
          </w:p>
        </w:tc>
        <w:tc>
          <w:tcPr>
            <w:tcW w:type="dxa" w:w="2268"/>
          </w:tcPr>
          <w:p>
            <w:pPr>
              <w:spacing w:before="0" w:after="0"/>
            </w:pPr>
            <w:r/>
            <w:r>
              <w:rPr>
                <w:b w:val="0"/>
                <w:i w:val="0"/>
                <w:sz w:val="16"/>
              </w:rPr>
              <w:t>Hannah Whitmore</w:t>
            </w:r>
          </w:p>
        </w:tc>
      </w:tr>
      <w:tr>
        <w:tc>
          <w:tcPr>
            <w:tcW w:type="dxa" w:w="2381"/>
          </w:tcPr>
          <w:p>
            <w:pPr>
              <w:spacing w:before="0" w:after="0"/>
            </w:pPr>
            <w:r/>
            <w:r>
              <w:rPr>
                <w:b w:val="0"/>
                <w:i w:val="0"/>
                <w:sz w:val="16"/>
              </w:rPr>
              <w:t>Gulf Coast</w:t>
            </w:r>
          </w:p>
        </w:tc>
        <w:tc>
          <w:tcPr>
            <w:tcW w:type="dxa" w:w="4762"/>
          </w:tcPr>
          <w:p>
            <w:pPr>
              <w:spacing w:before="0" w:after="0"/>
            </w:pPr>
            <w:r/>
            <w:r>
              <w:rPr>
                <w:b w:val="0"/>
                <w:i w:val="0"/>
                <w:sz w:val="16"/>
              </w:rPr>
              <w:t>Houston, Beaumont, Galveston, Victoria, Corpus Christi</w:t>
            </w:r>
          </w:p>
        </w:tc>
        <w:tc>
          <w:tcPr>
            <w:tcW w:type="dxa" w:w="2268"/>
          </w:tcPr>
          <w:p>
            <w:pPr>
              <w:spacing w:before="0" w:after="0"/>
            </w:pPr>
            <w:r/>
            <w:r>
              <w:rPr>
                <w:b w:val="0"/>
                <w:i w:val="0"/>
                <w:sz w:val="16"/>
              </w:rPr>
              <w:t>Luis Herrera</w:t>
            </w:r>
          </w:p>
        </w:tc>
      </w:tr>
      <w:tr>
        <w:tc>
          <w:tcPr>
            <w:tcW w:type="dxa" w:w="2381"/>
          </w:tcPr>
          <w:p>
            <w:pPr>
              <w:spacing w:before="0" w:after="0"/>
            </w:pPr>
            <w:r/>
            <w:r>
              <w:rPr>
                <w:b w:val="0"/>
                <w:i w:val="0"/>
                <w:sz w:val="16"/>
              </w:rPr>
              <w:t>South Texas</w:t>
            </w:r>
          </w:p>
        </w:tc>
        <w:tc>
          <w:tcPr>
            <w:tcW w:type="dxa" w:w="4762"/>
          </w:tcPr>
          <w:p>
            <w:pPr>
              <w:spacing w:before="0" w:after="0"/>
            </w:pPr>
            <w:r/>
            <w:r>
              <w:rPr>
                <w:b w:val="0"/>
                <w:i w:val="0"/>
                <w:sz w:val="16"/>
              </w:rPr>
              <w:t>San Antonio, Laredo, McAllen, Brownsville</w:t>
            </w:r>
          </w:p>
        </w:tc>
        <w:tc>
          <w:tcPr>
            <w:tcW w:type="dxa" w:w="2268"/>
          </w:tcPr>
          <w:p>
            <w:pPr>
              <w:spacing w:before="0" w:after="0"/>
            </w:pPr>
            <w:r/>
            <w:r>
              <w:rPr>
                <w:b w:val="0"/>
                <w:i w:val="0"/>
                <w:sz w:val="16"/>
              </w:rPr>
              <w:t>Sofia Delgado</w:t>
            </w:r>
          </w:p>
        </w:tc>
      </w:tr>
      <w:tr>
        <w:tc>
          <w:tcPr>
            <w:tcW w:type="dxa" w:w="2381"/>
          </w:tcPr>
          <w:p>
            <w:pPr>
              <w:spacing w:before="0" w:after="0"/>
            </w:pPr>
            <w:r/>
            <w:r>
              <w:rPr>
                <w:b w:val="0"/>
                <w:i w:val="0"/>
                <w:sz w:val="16"/>
              </w:rPr>
              <w:t>East Texas and Louisiana</w:t>
            </w:r>
          </w:p>
        </w:tc>
        <w:tc>
          <w:tcPr>
            <w:tcW w:type="dxa" w:w="4762"/>
          </w:tcPr>
          <w:p>
            <w:pPr>
              <w:spacing w:before="0" w:after="0"/>
            </w:pPr>
            <w:r/>
            <w:r>
              <w:rPr>
                <w:b w:val="0"/>
                <w:i w:val="0"/>
                <w:sz w:val="16"/>
              </w:rPr>
              <w:t>Tyler, Longview, Texarkana, Shreveport, Lake Charles</w:t>
            </w:r>
          </w:p>
        </w:tc>
        <w:tc>
          <w:tcPr>
            <w:tcW w:type="dxa" w:w="2268"/>
          </w:tcPr>
          <w:p>
            <w:pPr>
              <w:spacing w:before="0" w:after="0"/>
            </w:pPr>
            <w:r/>
            <w:r>
              <w:rPr>
                <w:b w:val="0"/>
                <w:i w:val="0"/>
                <w:sz w:val="16"/>
              </w:rPr>
              <w:t>Owen Prescott</w:t>
            </w:r>
          </w:p>
        </w:tc>
      </w:tr>
      <w:tr>
        <w:tc>
          <w:tcPr>
            <w:tcW w:type="dxa" w:w="2381"/>
          </w:tcPr>
          <w:p>
            <w:pPr>
              <w:spacing w:before="0" w:after="0"/>
            </w:pPr>
            <w:r/>
            <w:r>
              <w:rPr>
                <w:b w:val="0"/>
                <w:i w:val="0"/>
                <w:sz w:val="16"/>
              </w:rPr>
              <w:t>West Texas and New Mexico</w:t>
            </w:r>
          </w:p>
        </w:tc>
        <w:tc>
          <w:tcPr>
            <w:tcW w:type="dxa" w:w="4762"/>
          </w:tcPr>
          <w:p>
            <w:pPr>
              <w:spacing w:before="0" w:after="0"/>
            </w:pPr>
            <w:r/>
            <w:r>
              <w:rPr>
                <w:b w:val="0"/>
                <w:i w:val="0"/>
                <w:sz w:val="16"/>
              </w:rPr>
              <w:t>Lubbock, Midland, Odessa, El Paso, Albuquerque</w:t>
            </w:r>
          </w:p>
        </w:tc>
        <w:tc>
          <w:tcPr>
            <w:tcW w:type="dxa" w:w="2268"/>
          </w:tcPr>
          <w:p>
            <w:pPr>
              <w:spacing w:before="0" w:after="0"/>
            </w:pPr>
            <w:r/>
            <w:r>
              <w:rPr>
                <w:b w:val="0"/>
                <w:i w:val="0"/>
                <w:sz w:val="16"/>
              </w:rPr>
              <w:t>Kim Da-eun</w:t>
            </w:r>
          </w:p>
        </w:tc>
      </w:tr>
      <w:tr>
        <w:tc>
          <w:tcPr>
            <w:tcW w:type="dxa" w:w="2381"/>
          </w:tcPr>
          <w:p>
            <w:pPr>
              <w:spacing w:before="0" w:after="0"/>
            </w:pPr>
            <w:r/>
            <w:r>
              <w:rPr>
                <w:b w:val="0"/>
                <w:i w:val="0"/>
                <w:sz w:val="16"/>
              </w:rPr>
              <w:t>Oklahoma and Arkansas</w:t>
            </w:r>
          </w:p>
        </w:tc>
        <w:tc>
          <w:tcPr>
            <w:tcW w:type="dxa" w:w="4762"/>
          </w:tcPr>
          <w:p>
            <w:pPr>
              <w:spacing w:before="0" w:after="0"/>
            </w:pPr>
            <w:r/>
            <w:r>
              <w:rPr>
                <w:b w:val="0"/>
                <w:i w:val="0"/>
                <w:sz w:val="16"/>
              </w:rPr>
              <w:t>Oklahoma City, Tulsa, Fort Smith, Little Rock</w:t>
            </w:r>
          </w:p>
        </w:tc>
        <w:tc>
          <w:tcPr>
            <w:tcW w:type="dxa" w:w="2268"/>
          </w:tcPr>
          <w:p>
            <w:pPr>
              <w:spacing w:before="0" w:after="0"/>
            </w:pPr>
            <w:r/>
            <w:r>
              <w:rPr>
                <w:b w:val="0"/>
                <w:i w:val="0"/>
                <w:sz w:val="16"/>
              </w:rPr>
              <w:t>Eleanor Vance</w:t>
            </w:r>
          </w:p>
        </w:tc>
      </w:tr>
    </w:tbl>
    <w:p>
      <w:pPr>
        <w:spacing w:before="0" w:after="80"/>
      </w:pPr>
    </w:p>
    <w:p>
      <w:pPr>
        <w:spacing w:before="0" w:after="80" w:line="276" w:lineRule="auto"/>
      </w:pPr>
      <w:r>
        <w:rPr>
          <w:b w:val="0"/>
          <w:i w:val="0"/>
          <w:sz w:val="21"/>
        </w:rPr>
        <w:t>Each account is assigned to the account manager for the territory of its billing address. Accounts with shipping addresses in more than one territory are managed from the billing territory with a named secondary contact in each other territory. Key accounts are managed by the key-account team irrespective of territory.</w:t>
      </w:r>
    </w:p>
    <w:p>
      <w:pPr>
        <w:spacing w:before="160" w:after="60" w:line="276" w:lineRule="auto"/>
      </w:pPr>
      <w:r>
        <w:rPr>
          <w:b/>
          <w:i w:val="0"/>
          <w:sz w:val="21"/>
        </w:rPr>
        <w:t>2.7  Account set-up checklist used by the Accounts team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Check</w:t>
            </w:r>
          </w:p>
        </w:tc>
        <w:tc>
          <w:tcPr>
            <w:tcW w:type="dxa" w:w="3175"/>
            <w:vAlign w:val="bottom"/>
            <w:shd w:val="clear" w:color="auto" w:fill="D9D9D9"/>
          </w:tcPr>
          <w:p>
            <w:pPr>
              <w:spacing w:before="0" w:after="0"/>
            </w:pPr>
            <w:r/>
            <w:r>
              <w:rPr>
                <w:b/>
                <w:i w:val="0"/>
                <w:sz w:val="14"/>
              </w:rPr>
              <w:t>Source</w:t>
            </w:r>
          </w:p>
        </w:tc>
        <w:tc>
          <w:tcPr>
            <w:tcW w:type="dxa" w:w="2268"/>
            <w:vAlign w:val="bottom"/>
            <w:shd w:val="clear" w:color="auto" w:fill="D9D9D9"/>
          </w:tcPr>
          <w:p>
            <w:pPr>
              <w:spacing w:before="0" w:after="0"/>
            </w:pPr>
            <w:r/>
            <w:r>
              <w:rPr>
                <w:b/>
                <w:i w:val="0"/>
                <w:sz w:val="14"/>
              </w:rPr>
              <w:t>Done by</w:t>
            </w:r>
          </w:p>
        </w:tc>
      </w:tr>
      <w:tr>
        <w:tc>
          <w:tcPr>
            <w:tcW w:type="dxa" w:w="3969"/>
          </w:tcPr>
          <w:p>
            <w:pPr>
              <w:spacing w:before="0" w:after="0"/>
            </w:pPr>
            <w:r/>
            <w:r>
              <w:rPr>
                <w:b w:val="0"/>
                <w:i w:val="0"/>
                <w:sz w:val="16"/>
              </w:rPr>
              <w:t>Legal name matches the certificate of formation</w:t>
            </w:r>
          </w:p>
        </w:tc>
        <w:tc>
          <w:tcPr>
            <w:tcW w:type="dxa" w:w="3175"/>
          </w:tcPr>
          <w:p>
            <w:pPr>
              <w:spacing w:before="0" w:after="0"/>
            </w:pPr>
            <w:r/>
            <w:r>
              <w:rPr>
                <w:b w:val="0"/>
                <w:i w:val="0"/>
                <w:sz w:val="16"/>
              </w:rPr>
              <w:t>Certificate;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Entity type and state of formation recorded</w:t>
            </w:r>
          </w:p>
        </w:tc>
        <w:tc>
          <w:tcPr>
            <w:tcW w:type="dxa" w:w="3175"/>
          </w:tcPr>
          <w:p>
            <w:pPr>
              <w:spacing w:before="0" w:after="0"/>
            </w:pPr>
            <w:r/>
            <w:r>
              <w:rPr>
                <w:b w:val="0"/>
                <w:i w:val="0"/>
                <w:sz w:val="16"/>
              </w:rPr>
              <w:t>Certificate</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Tax ID matches the W-9</w:t>
            </w:r>
          </w:p>
        </w:tc>
        <w:tc>
          <w:tcPr>
            <w:tcW w:type="dxa" w:w="3175"/>
          </w:tcPr>
          <w:p>
            <w:pPr>
              <w:spacing w:before="0" w:after="0"/>
            </w:pPr>
            <w:r/>
            <w:r>
              <w:rPr>
                <w:b w:val="0"/>
                <w:i w:val="0"/>
                <w:sz w:val="16"/>
              </w:rPr>
              <w:t>W-9; application band 1</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Resale certificate on file for each delivery state (resellers)</w:t>
            </w:r>
          </w:p>
        </w:tc>
        <w:tc>
          <w:tcPr>
            <w:tcW w:type="dxa" w:w="3175"/>
          </w:tcPr>
          <w:p>
            <w:pPr>
              <w:spacing w:before="0" w:after="0"/>
            </w:pPr>
            <w:r/>
            <w:r>
              <w:rPr>
                <w:b w:val="0"/>
                <w:i w:val="0"/>
                <w:sz w:val="16"/>
              </w:rPr>
              <w:t>Certificates</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Industry classification is one of the system values</w:t>
            </w:r>
          </w:p>
        </w:tc>
        <w:tc>
          <w:tcPr>
            <w:tcW w:type="dxa" w:w="3175"/>
          </w:tcPr>
          <w:p>
            <w:pPr>
              <w:spacing w:before="0" w:after="0"/>
            </w:pPr>
            <w:r/>
            <w:r>
              <w:rPr>
                <w:b w:val="0"/>
                <w:i w:val="0"/>
                <w:sz w:val="16"/>
              </w:rPr>
              <w:t>Application band 1; Section 2.4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Billing address complete: street, city, state, ZIP, country</w:t>
            </w:r>
          </w:p>
        </w:tc>
        <w:tc>
          <w:tcPr>
            <w:tcW w:type="dxa" w:w="3175"/>
          </w:tcPr>
          <w:p>
            <w:pPr>
              <w:spacing w:before="0" w:after="0"/>
            </w:pPr>
            <w:r/>
            <w:r>
              <w:rPr>
                <w:b w:val="0"/>
                <w:i w:val="0"/>
                <w:sz w:val="16"/>
              </w:rPr>
              <w:t>Application band 3</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Primary contact created with title, e-mail and phone</w:t>
            </w:r>
          </w:p>
        </w:tc>
        <w:tc>
          <w:tcPr>
            <w:tcW w:type="dxa" w:w="3175"/>
          </w:tcPr>
          <w:p>
            <w:pPr>
              <w:spacing w:before="0" w:after="0"/>
            </w:pPr>
            <w:r/>
            <w:r>
              <w:rPr>
                <w:b w:val="0"/>
                <w:i w:val="0"/>
                <w:sz w:val="16"/>
              </w:rPr>
              <w:t>Application band 4</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Credit limit and term entered as approved</w:t>
            </w:r>
          </w:p>
        </w:tc>
        <w:tc>
          <w:tcPr>
            <w:tcW w:type="dxa" w:w="3175"/>
          </w:tcPr>
          <w:p>
            <w:pPr>
              <w:spacing w:before="0" w:after="0"/>
            </w:pPr>
            <w:r/>
            <w:r>
              <w:rPr>
                <w:b w:val="0"/>
                <w:i w:val="0"/>
                <w:sz w:val="16"/>
              </w:rPr>
              <w:t>Approval record</w:t>
            </w:r>
          </w:p>
        </w:tc>
        <w:tc>
          <w:tcPr>
            <w:tcW w:type="dxa" w:w="2268"/>
          </w:tcPr>
          <w:p>
            <w:pPr>
              <w:spacing w:before="0" w:after="0"/>
            </w:pPr>
            <w:r/>
            <w:r>
              <w:rPr>
                <w:b w:val="0"/>
                <w:i w:val="0"/>
                <w:sz w:val="16"/>
              </w:rPr>
              <w:t>Credit</w:t>
            </w:r>
          </w:p>
        </w:tc>
      </w:tr>
      <w:tr>
        <w:tc>
          <w:tcPr>
            <w:tcW w:type="dxa" w:w="3969"/>
          </w:tcPr>
          <w:p>
            <w:pPr>
              <w:spacing w:before="0" w:after="0"/>
            </w:pPr>
            <w:r/>
            <w:r>
              <w:rPr>
                <w:b w:val="0"/>
                <w:i w:val="0"/>
                <w:sz w:val="16"/>
              </w:rPr>
              <w:t>Purchase-order-required flag set</w:t>
            </w:r>
          </w:p>
        </w:tc>
        <w:tc>
          <w:tcPr>
            <w:tcW w:type="dxa" w:w="3175"/>
          </w:tcPr>
          <w:p>
            <w:pPr>
              <w:spacing w:before="0" w:after="0"/>
            </w:pPr>
            <w:r/>
            <w:r>
              <w:rPr>
                <w:b w:val="0"/>
                <w:i w:val="0"/>
                <w:sz w:val="16"/>
              </w:rPr>
              <w:t>Application band 2</w:t>
            </w:r>
          </w:p>
        </w:tc>
        <w:tc>
          <w:tcPr>
            <w:tcW w:type="dxa" w:w="2268"/>
          </w:tcPr>
          <w:p>
            <w:pPr>
              <w:spacing w:before="0" w:after="0"/>
            </w:pPr>
            <w:r/>
            <w:r>
              <w:rPr>
                <w:b w:val="0"/>
                <w:i w:val="0"/>
                <w:sz w:val="16"/>
              </w:rPr>
              <w:t>Accounts</w:t>
            </w:r>
          </w:p>
        </w:tc>
      </w:tr>
      <w:tr>
        <w:tc>
          <w:tcPr>
            <w:tcW w:type="dxa" w:w="3969"/>
          </w:tcPr>
          <w:p>
            <w:pPr>
              <w:spacing w:before="0" w:after="0"/>
            </w:pPr>
            <w:r/>
            <w:r>
              <w:rPr>
                <w:b w:val="0"/>
                <w:i w:val="0"/>
                <w:sz w:val="16"/>
              </w:rPr>
              <w:t>Pricing tier set</w:t>
            </w:r>
          </w:p>
        </w:tc>
        <w:tc>
          <w:tcPr>
            <w:tcW w:type="dxa" w:w="3175"/>
          </w:tcPr>
          <w:p>
            <w:pPr>
              <w:spacing w:before="0" w:after="0"/>
            </w:pPr>
            <w:r/>
            <w:r>
              <w:rPr>
                <w:b w:val="0"/>
                <w:i w:val="0"/>
                <w:sz w:val="16"/>
              </w:rPr>
              <w:t>Section 2.5; account manager</w:t>
            </w:r>
          </w:p>
        </w:tc>
        <w:tc>
          <w:tcPr>
            <w:tcW w:type="dxa" w:w="2268"/>
          </w:tcPr>
          <w:p>
            <w:pPr>
              <w:spacing w:before="0" w:after="0"/>
            </w:pPr>
            <w:r/>
            <w:r>
              <w:rPr>
                <w:b w:val="0"/>
                <w:i w:val="0"/>
                <w:sz w:val="16"/>
              </w:rPr>
              <w:t>Sales operations</w:t>
            </w:r>
          </w:p>
        </w:tc>
      </w:tr>
      <w:tr>
        <w:tc>
          <w:tcPr>
            <w:tcW w:type="dxa" w:w="3969"/>
          </w:tcPr>
          <w:p>
            <w:pPr>
              <w:spacing w:before="0" w:after="0"/>
            </w:pPr>
            <w:r/>
            <w:r>
              <w:rPr>
                <w:b w:val="0"/>
                <w:i w:val="0"/>
                <w:sz w:val="16"/>
              </w:rPr>
              <w:t>Welcome letter issued</w:t>
            </w:r>
          </w:p>
        </w:tc>
        <w:tc>
          <w:tcPr>
            <w:tcW w:type="dxa" w:w="3175"/>
          </w:tcPr>
          <w:p>
            <w:pPr>
              <w:spacing w:before="0" w:after="0"/>
            </w:pPr>
            <w:r/>
            <w:r>
              <w:rPr>
                <w:b w:val="0"/>
                <w:i w:val="0"/>
                <w:sz w:val="16"/>
              </w:rPr>
              <w:t>Template 7.1 of the sales handbook</w:t>
            </w:r>
          </w:p>
        </w:tc>
        <w:tc>
          <w:tcPr>
            <w:tcW w:type="dxa" w:w="2268"/>
          </w:tcPr>
          <w:p>
            <w:pPr>
              <w:spacing w:before="0" w:after="0"/>
            </w:pPr>
            <w:r/>
            <w:r>
              <w:rPr>
                <w:b w:val="0"/>
                <w:i w:val="0"/>
                <w:sz w:val="16"/>
              </w:rPr>
              <w:t>Accounts</w:t>
            </w:r>
          </w:p>
        </w:tc>
      </w:tr>
    </w:tbl>
    <w:p>
      <w:pPr>
        <w:spacing w:before="0" w:after="80"/>
      </w:pPr>
    </w:p>
    <w:p>
      <w:pPr>
        <w:spacing w:before="160" w:after="60" w:line="276" w:lineRule="auto"/>
      </w:pPr>
      <w:r>
        <w:rPr>
          <w:b/>
          <w:i w:val="0"/>
          <w:sz w:val="21"/>
        </w:rPr>
        <w:t>2.8  Electronic trading</w:t>
      </w:r>
    </w:p>
    <w:p>
      <w:pPr>
        <w:spacing w:before="0" w:after="80" w:line="276" w:lineRule="auto"/>
      </w:pPr>
      <w:r>
        <w:rPr>
          <w:b w:val="0"/>
          <w:i w:val="0"/>
          <w:sz w:val="21"/>
        </w:rPr>
        <w:t>Customers may order through the Company's web portal, by electronic data interchange, or through punch-out catalogues integrated with their procurement system. Portal access is granted to named users nominated by the primary contact; each user's orders are subject to the account's credit limit and purchase-order setting. EDI and punch-out integrations are set up by the sales operations team after the account is open and typically take two to four weeks to test.</w:t>
      </w:r>
    </w:p>
    <w:p>
      <w:pPr>
        <w:spacing w:before="160" w:after="60" w:line="276" w:lineRule="auto"/>
      </w:pPr>
      <w:r>
        <w:rPr>
          <w:b/>
          <w:i w:val="0"/>
          <w:sz w:val="21"/>
        </w:rPr>
        <w:t>2.9  Customer system field dictionary</w:t>
      </w:r>
    </w:p>
    <w:p>
      <w:pPr>
        <w:spacing w:before="0" w:after="80" w:line="276" w:lineRule="auto"/>
      </w:pPr>
      <w:r>
        <w:rPr>
          <w:b w:val="0"/>
          <w:i w:val="0"/>
          <w:sz w:val="21"/>
        </w:rPr>
        <w:t>The customer system holds one record per account. The dictionary below lists the fields captured at set-up, where each value comes from, and the format required. It is the reference used by the Accounts team and by the sales operations team when records are audited for completeness.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814"/>
            <w:vAlign w:val="bottom"/>
            <w:shd w:val="clear" w:color="auto" w:fill="D9D9D9"/>
          </w:tcPr>
          <w:p>
            <w:pPr>
              <w:spacing w:before="0" w:after="0"/>
            </w:pPr>
            <w:r/>
            <w:r>
              <w:rPr>
                <w:b/>
                <w:i w:val="0"/>
                <w:sz w:val="14"/>
              </w:rPr>
              <w:t>Field</w:t>
            </w:r>
          </w:p>
        </w:tc>
        <w:tc>
          <w:tcPr>
            <w:tcW w:type="dxa" w:w="2835"/>
            <w:vAlign w:val="bottom"/>
            <w:shd w:val="clear" w:color="auto" w:fill="D9D9D9"/>
          </w:tcPr>
          <w:p>
            <w:pPr>
              <w:spacing w:before="0" w:after="0"/>
            </w:pPr>
            <w:r/>
            <w:r>
              <w:rPr>
                <w:b/>
                <w:i w:val="0"/>
                <w:sz w:val="14"/>
              </w:rPr>
              <w:t>Source</w:t>
            </w:r>
          </w:p>
        </w:tc>
        <w:tc>
          <w:tcPr>
            <w:tcW w:type="dxa" w:w="3061"/>
            <w:vAlign w:val="bottom"/>
            <w:shd w:val="clear" w:color="auto" w:fill="D9D9D9"/>
          </w:tcPr>
          <w:p>
            <w:pPr>
              <w:spacing w:before="0" w:after="0"/>
            </w:pPr>
            <w:r/>
            <w:r>
              <w:rPr>
                <w:b/>
                <w:i w:val="0"/>
                <w:sz w:val="14"/>
              </w:rPr>
              <w:t>Format</w:t>
            </w:r>
          </w:p>
        </w:tc>
        <w:tc>
          <w:tcPr>
            <w:tcW w:type="dxa" w:w="1701"/>
            <w:vAlign w:val="bottom"/>
            <w:shd w:val="clear" w:color="auto" w:fill="D9D9D9"/>
          </w:tcPr>
          <w:p>
            <w:pPr>
              <w:spacing w:before="0" w:after="0"/>
            </w:pPr>
            <w:r/>
            <w:r>
              <w:rPr>
                <w:b/>
                <w:i w:val="0"/>
                <w:sz w:val="14"/>
              </w:rPr>
              <w:t>Required at set-up</w:t>
            </w:r>
          </w:p>
        </w:tc>
      </w:tr>
      <w:tr>
        <w:tc>
          <w:tcPr>
            <w:tcW w:type="dxa" w:w="1814"/>
          </w:tcPr>
          <w:p>
            <w:pPr>
              <w:spacing w:before="0" w:after="0"/>
            </w:pPr>
            <w:r/>
            <w:r>
              <w:rPr>
                <w:b w:val="0"/>
                <w:i w:val="0"/>
                <w:sz w:val="16"/>
              </w:rPr>
              <w:t>Account name</w:t>
            </w:r>
          </w:p>
        </w:tc>
        <w:tc>
          <w:tcPr>
            <w:tcW w:type="dxa" w:w="2835"/>
          </w:tcPr>
          <w:p>
            <w:pPr>
              <w:spacing w:before="0" w:after="0"/>
            </w:pPr>
            <w:r/>
            <w:r>
              <w:rPr>
                <w:b w:val="0"/>
                <w:i w:val="0"/>
                <w:sz w:val="16"/>
              </w:rPr>
              <w:t>Application, band 1 — legal name</w:t>
            </w:r>
          </w:p>
        </w:tc>
        <w:tc>
          <w:tcPr>
            <w:tcW w:type="dxa" w:w="3061"/>
          </w:tcPr>
          <w:p>
            <w:pPr>
              <w:spacing w:before="0" w:after="0"/>
            </w:pPr>
            <w:r/>
            <w:r>
              <w:rPr>
                <w:b w:val="0"/>
                <w:i w:val="0"/>
                <w:sz w:val="16"/>
              </w:rPr>
              <w:t>Text, as registered, with entity suffix</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Trading name (DBA)</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Text</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Account type</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Prospect, Customer, Reseller, Partner, Key account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Entity type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five entity types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Industry</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One of the classifications in Section 2.4</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Website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Domain without protocol</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Main phone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Fax</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 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Year established</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Four digits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Employees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Annual revenue</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Integer dollars, no separators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Tax ID</w:t>
            </w:r>
          </w:p>
        </w:tc>
        <w:tc>
          <w:tcPr>
            <w:tcW w:type="dxa" w:w="2835"/>
          </w:tcPr>
          <w:p>
            <w:pPr>
              <w:spacing w:before="0" w:after="0"/>
            </w:pPr>
            <w:r/>
            <w:r>
              <w:rPr>
                <w:b w:val="0"/>
                <w:i w:val="0"/>
                <w:sz w:val="16"/>
              </w:rPr>
              <w:t>W-9</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DUNS</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NN-NNN-NNNN</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Description</w:t>
            </w:r>
          </w:p>
        </w:tc>
        <w:tc>
          <w:tcPr>
            <w:tcW w:type="dxa" w:w="2835"/>
          </w:tcPr>
          <w:p>
            <w:pPr>
              <w:spacing w:before="0" w:after="0"/>
            </w:pPr>
            <w:r/>
            <w:r>
              <w:rPr>
                <w:b w:val="0"/>
                <w:i w:val="0"/>
                <w:sz w:val="16"/>
              </w:rPr>
              <w:t>Application, band 1</w:t>
            </w:r>
          </w:p>
        </w:tc>
        <w:tc>
          <w:tcPr>
            <w:tcW w:type="dxa" w:w="3061"/>
          </w:tcPr>
          <w:p>
            <w:pPr>
              <w:spacing w:before="0" w:after="0"/>
            </w:pPr>
            <w:r/>
            <w:r>
              <w:rPr>
                <w:b w:val="0"/>
                <w:i w:val="0"/>
                <w:sz w:val="16"/>
              </w:rPr>
              <w:t>Free text, one or two sentences</w:t>
            </w:r>
          </w:p>
        </w:tc>
        <w:tc>
          <w:tcPr>
            <w:tcW w:type="dxa" w:w="1701"/>
          </w:tcPr>
          <w:p>
            <w:pPr>
              <w:spacing w:before="0" w:after="0"/>
            </w:pPr>
            <w:r/>
            <w:r>
              <w:rPr>
                <w:b w:val="0"/>
                <w:i w:val="0"/>
                <w:sz w:val="16"/>
              </w:rPr>
              <w:t>No</w:t>
            </w:r>
          </w:p>
        </w:tc>
      </w:tr>
      <w:tr>
        <w:tc>
          <w:tcPr>
            <w:tcW w:type="dxa" w:w="1814"/>
          </w:tcPr>
          <w:p>
            <w:pPr>
              <w:spacing w:before="0" w:after="0"/>
            </w:pPr>
            <w:r/>
            <w:r>
              <w:rPr>
                <w:b w:val="0"/>
                <w:i w:val="0"/>
                <w:sz w:val="16"/>
              </w:rPr>
              <w:t>Billing street</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 including suite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city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Text</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state</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Two-letter code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ZIP</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Five digits, optional plus-four</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Billing country</w:t>
            </w:r>
          </w:p>
        </w:tc>
        <w:tc>
          <w:tcPr>
            <w:tcW w:type="dxa" w:w="2835"/>
          </w:tcPr>
          <w:p>
            <w:pPr>
              <w:spacing w:before="0" w:after="0"/>
            </w:pPr>
            <w:r/>
            <w:r>
              <w:rPr>
                <w:b w:val="0"/>
                <w:i w:val="0"/>
                <w:sz w:val="16"/>
              </w:rPr>
              <w:t>Application, band 3</w:t>
            </w:r>
          </w:p>
        </w:tc>
        <w:tc>
          <w:tcPr>
            <w:tcW w:type="dxa" w:w="3061"/>
          </w:tcPr>
          <w:p>
            <w:pPr>
              <w:spacing w:before="0" w:after="0"/>
            </w:pPr>
            <w:r/>
            <w:r>
              <w:rPr>
                <w:b w:val="0"/>
                <w:i w:val="0"/>
                <w:sz w:val="16"/>
              </w:rPr>
              <w:t>Three-letter code or name</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Credit limit</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Integer dollars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Payment term</w:t>
            </w:r>
          </w:p>
        </w:tc>
        <w:tc>
          <w:tcPr>
            <w:tcW w:type="dxa" w:w="2835"/>
          </w:tcPr>
          <w:p>
            <w:pPr>
              <w:spacing w:before="0" w:after="0"/>
            </w:pPr>
            <w:r/>
            <w:r>
              <w:rPr>
                <w:b w:val="0"/>
                <w:i w:val="0"/>
                <w:sz w:val="16"/>
              </w:rPr>
              <w:t>Approval record</w:t>
            </w:r>
          </w:p>
        </w:tc>
        <w:tc>
          <w:tcPr>
            <w:tcW w:type="dxa" w:w="3061"/>
          </w:tcPr>
          <w:p>
            <w:pPr>
              <w:spacing w:before="0" w:after="0"/>
            </w:pPr>
            <w:r/>
            <w:r>
              <w:rPr>
                <w:b w:val="0"/>
                <w:i w:val="0"/>
                <w:sz w:val="16"/>
              </w:rPr>
              <w:t>One of the term codes</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Purchase order required</w:t>
            </w:r>
          </w:p>
        </w:tc>
        <w:tc>
          <w:tcPr>
            <w:tcW w:type="dxa" w:w="2835"/>
          </w:tcPr>
          <w:p>
            <w:pPr>
              <w:spacing w:before="0" w:after="0"/>
            </w:pPr>
            <w:r/>
            <w:r>
              <w:rPr>
                <w:b w:val="0"/>
                <w:i w:val="0"/>
                <w:sz w:val="16"/>
              </w:rPr>
              <w:t>Application, band 2</w:t>
            </w:r>
          </w:p>
        </w:tc>
        <w:tc>
          <w:tcPr>
            <w:tcW w:type="dxa" w:w="3061"/>
          </w:tcPr>
          <w:p>
            <w:pPr>
              <w:spacing w:before="0" w:after="0"/>
            </w:pPr>
            <w:r/>
            <w:r>
              <w:rPr>
                <w:b w:val="0"/>
                <w:i w:val="0"/>
                <w:sz w:val="16"/>
              </w:rPr>
              <w:t>Yes / No</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Pricing tier</w:t>
            </w:r>
          </w:p>
        </w:tc>
        <w:tc>
          <w:tcPr>
            <w:tcW w:type="dxa" w:w="2835"/>
          </w:tcPr>
          <w:p>
            <w:pPr>
              <w:spacing w:before="0" w:after="0"/>
            </w:pPr>
            <w:r/>
            <w:r>
              <w:rPr>
                <w:b w:val="0"/>
                <w:i w:val="0"/>
                <w:sz w:val="16"/>
              </w:rPr>
              <w:t>Section 2.5</w:t>
            </w:r>
          </w:p>
        </w:tc>
        <w:tc>
          <w:tcPr>
            <w:tcW w:type="dxa" w:w="3061"/>
          </w:tcPr>
          <w:p>
            <w:pPr>
              <w:spacing w:before="0" w:after="0"/>
            </w:pPr>
            <w:r/>
            <w:r>
              <w:rPr>
                <w:b w:val="0"/>
                <w:i w:val="0"/>
                <w:sz w:val="16"/>
              </w:rPr>
              <w:t>One of: List, Silver, Gold, Platinum</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Account manager</w:t>
            </w:r>
          </w:p>
        </w:tc>
        <w:tc>
          <w:tcPr>
            <w:tcW w:type="dxa" w:w="2835"/>
          </w:tcPr>
          <w:p>
            <w:pPr>
              <w:spacing w:before="0" w:after="0"/>
            </w:pPr>
            <w:r/>
            <w:r>
              <w:rPr>
                <w:b w:val="0"/>
                <w:i w:val="0"/>
                <w:sz w:val="16"/>
              </w:rPr>
              <w:t>Territory table, Section 2.6</w:t>
            </w:r>
          </w:p>
        </w:tc>
        <w:tc>
          <w:tcPr>
            <w:tcW w:type="dxa" w:w="3061"/>
          </w:tcPr>
          <w:p>
            <w:pPr>
              <w:spacing w:before="0" w:after="0"/>
            </w:pPr>
            <w:r/>
            <w:r>
              <w:rPr>
                <w:b w:val="0"/>
                <w:i w:val="0"/>
                <w:sz w:val="16"/>
              </w:rPr>
              <w:t>Employee record</w:t>
            </w:r>
          </w:p>
        </w:tc>
        <w:tc>
          <w:tcPr>
            <w:tcW w:type="dxa" w:w="1701"/>
          </w:tcPr>
          <w:p>
            <w:pPr>
              <w:spacing w:before="0" w:after="0"/>
            </w:pPr>
            <w:r/>
            <w:r>
              <w:rPr>
                <w:b w:val="0"/>
                <w:i w:val="0"/>
                <w:sz w:val="16"/>
              </w:rPr>
              <w:t>Yes</w:t>
            </w:r>
          </w:p>
        </w:tc>
      </w:tr>
      <w:tr>
        <w:tc>
          <w:tcPr>
            <w:tcW w:type="dxa" w:w="1814"/>
          </w:tcPr>
          <w:p>
            <w:pPr>
              <w:spacing w:before="0" w:after="0"/>
            </w:pPr>
            <w:r/>
            <w:r>
              <w:rPr>
                <w:b w:val="0"/>
                <w:i w:val="0"/>
                <w:sz w:val="16"/>
              </w:rPr>
              <w:t>Primary contact</w:t>
            </w:r>
          </w:p>
        </w:tc>
        <w:tc>
          <w:tcPr>
            <w:tcW w:type="dxa" w:w="2835"/>
          </w:tcPr>
          <w:p>
            <w:pPr>
              <w:spacing w:before="0" w:after="0"/>
            </w:pPr>
            <w:r/>
            <w:r>
              <w:rPr>
                <w:b w:val="0"/>
                <w:i w:val="0"/>
                <w:sz w:val="16"/>
              </w:rPr>
              <w:t>Application, band 4</w:t>
            </w:r>
          </w:p>
        </w:tc>
        <w:tc>
          <w:tcPr>
            <w:tcW w:type="dxa" w:w="3061"/>
          </w:tcPr>
          <w:p>
            <w:pPr>
              <w:spacing w:before="0" w:after="0"/>
            </w:pPr>
            <w:r/>
            <w:r>
              <w:rPr>
                <w:b w:val="0"/>
                <w:i w:val="0"/>
                <w:sz w:val="16"/>
              </w:rPr>
              <w:t>Contact record: name, title, e-mail, phone</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3.  Guide to the Credit Application</w:t>
      </w:r>
    </w:p>
    <w:p>
      <w:pPr>
        <w:spacing w:before="0" w:after="80" w:line="276" w:lineRule="auto"/>
      </w:pPr>
      <w:r>
        <w:rPr>
          <w:b w:val="0"/>
          <w:i w:val="0"/>
          <w:sz w:val="21"/>
        </w:rPr>
        <w:t>The credit application (form FM420083) has five banded sections: company information, credit request, billing information, primary contact, and trade references, followed by the certification. Complete every field that applies; write N/A where a field does not apply rather than leaving it blank.</w:t>
      </w:r>
    </w:p>
    <w:p>
      <w:pPr>
        <w:spacing w:before="160" w:after="60" w:line="276" w:lineRule="auto"/>
      </w:pPr>
      <w:r>
        <w:rPr>
          <w:b/>
          <w:i w:val="0"/>
          <w:sz w:val="21"/>
        </w:rPr>
        <w:t>3.1  Company information</w:t>
      </w:r>
    </w:p>
    <w:p>
      <w:pPr>
        <w:spacing w:before="0" w:after="60" w:line="276" w:lineRule="auto"/>
        <w:ind w:left="340" w:hanging="340"/>
      </w:pPr>
      <w:r>
        <w:rPr>
          <w:b w:val="0"/>
          <w:i w:val="0"/>
          <w:sz w:val="21"/>
        </w:rPr>
        <w:t>•</w:t>
        <w:tab/>
        <w:t>Legal name: exactly as it appears on the certificate of incorporation or formation, including the suffix (Inc., LLC, Ltd.). The account is opened in this name and invoices are issued to it.</w:t>
      </w:r>
    </w:p>
    <w:p>
      <w:pPr>
        <w:spacing w:before="0" w:after="60" w:line="276" w:lineRule="auto"/>
        <w:ind w:left="340" w:hanging="340"/>
      </w:pPr>
      <w:r>
        <w:rPr>
          <w:b w:val="0"/>
          <w:i w:val="0"/>
          <w:sz w:val="21"/>
        </w:rPr>
        <w:t>•</w:t>
        <w:tab/>
        <w:t>DBA: any trading name, if different from the legal name.</w:t>
      </w:r>
    </w:p>
    <w:p>
      <w:pPr>
        <w:spacing w:before="0" w:after="60" w:line="276" w:lineRule="auto"/>
        <w:ind w:left="340" w:hanging="340"/>
      </w:pPr>
      <w:r>
        <w:rPr>
          <w:b w:val="0"/>
          <w:i w:val="0"/>
          <w:sz w:val="21"/>
        </w:rPr>
        <w:t>•</w:t>
        <w:tab/>
        <w:t>Entity type: Corporation, Limited Company, LLC, Partnership or Sole Proprietorship.</w:t>
      </w:r>
    </w:p>
    <w:p>
      <w:pPr>
        <w:spacing w:before="0" w:after="60" w:line="276" w:lineRule="auto"/>
        <w:ind w:left="340" w:hanging="340"/>
      </w:pPr>
      <w:r>
        <w:rPr>
          <w:b w:val="0"/>
          <w:i w:val="0"/>
          <w:sz w:val="21"/>
        </w:rPr>
        <w:t>•</w:t>
        <w:tab/>
        <w:t>Account type requested: see Section 1.2. Most first-time applicants are Prospects until the first order.</w:t>
      </w:r>
    </w:p>
    <w:p>
      <w:pPr>
        <w:spacing w:before="0" w:after="60" w:line="276" w:lineRule="auto"/>
        <w:ind w:left="340" w:hanging="340"/>
      </w:pPr>
      <w:r>
        <w:rPr>
          <w:b w:val="0"/>
          <w:i w:val="0"/>
          <w:sz w:val="21"/>
        </w:rPr>
        <w:t>•</w:t>
        <w:tab/>
        <w:t>Industry: one classification from the list in Section 2.4.</w:t>
      </w:r>
    </w:p>
    <w:p>
      <w:pPr>
        <w:spacing w:before="0" w:after="60" w:line="276" w:lineRule="auto"/>
        <w:ind w:left="340" w:hanging="340"/>
      </w:pPr>
      <w:r>
        <w:rPr>
          <w:b w:val="0"/>
          <w:i w:val="0"/>
          <w:sz w:val="21"/>
        </w:rPr>
        <w:t>•</w:t>
        <w:tab/>
        <w:t>Website, telephone and fax: the main business numbers, not those of the contact.</w:t>
      </w:r>
    </w:p>
    <w:p>
      <w:pPr>
        <w:spacing w:before="0" w:after="60" w:line="276" w:lineRule="auto"/>
        <w:ind w:left="340" w:hanging="340"/>
      </w:pPr>
      <w:r>
        <w:rPr>
          <w:b w:val="0"/>
          <w:i w:val="0"/>
          <w:sz w:val="21"/>
        </w:rPr>
        <w:t>•</w:t>
        <w:tab/>
        <w:t>Year established, employees and annual revenue: as at the last fiscal year end. Revenue is written in dollars without cents.</w:t>
      </w:r>
    </w:p>
    <w:p>
      <w:pPr>
        <w:spacing w:before="0" w:after="60" w:line="276" w:lineRule="auto"/>
        <w:ind w:left="340" w:hanging="340"/>
      </w:pPr>
      <w:r>
        <w:rPr>
          <w:b w:val="0"/>
          <w:i w:val="0"/>
          <w:sz w:val="21"/>
        </w:rPr>
        <w:t>•</w:t>
        <w:tab/>
        <w:t>Tax ID and DUNS number: from the W-9 and the Dun and Bradstreet record.</w:t>
      </w:r>
    </w:p>
    <w:p>
      <w:pPr>
        <w:spacing w:before="0" w:after="60" w:line="276" w:lineRule="auto"/>
        <w:ind w:left="340" w:hanging="340"/>
      </w:pPr>
      <w:r>
        <w:rPr>
          <w:b w:val="0"/>
          <w:i w:val="0"/>
          <w:sz w:val="21"/>
        </w:rPr>
        <w:t>•</w:t>
        <w:tab/>
        <w:t>Description of business: one or two sentences saying what the business makes or does and for whom.</w:t>
      </w:r>
    </w:p>
    <w:p>
      <w:pPr>
        <w:spacing w:before="160" w:after="60" w:line="276" w:lineRule="auto"/>
      </w:pPr>
      <w:r>
        <w:rPr>
          <w:b/>
          <w:i w:val="0"/>
          <w:sz w:val="21"/>
        </w:rPr>
        <w:t>3.2  Credit request and billing</w:t>
      </w:r>
    </w:p>
    <w:p>
      <w:pPr>
        <w:spacing w:before="0" w:after="60" w:line="276" w:lineRule="auto"/>
        <w:ind w:left="340" w:hanging="340"/>
      </w:pPr>
      <w:r>
        <w:rPr>
          <w:b w:val="0"/>
          <w:i w:val="0"/>
          <w:sz w:val="21"/>
        </w:rPr>
        <w:t>•</w:t>
        <w:tab/>
        <w:t>Requested credit limit and expected monthly purchases: in dollars. See Section 1.4 for how these are used.</w:t>
      </w:r>
    </w:p>
    <w:p>
      <w:pPr>
        <w:spacing w:before="0" w:after="60" w:line="276" w:lineRule="auto"/>
        <w:ind w:left="340" w:hanging="340"/>
      </w:pPr>
      <w:r>
        <w:rPr>
          <w:b w:val="0"/>
          <w:i w:val="0"/>
          <w:sz w:val="21"/>
        </w:rPr>
        <w:t>•</w:t>
        <w:tab/>
        <w:t>Purchase order required: Yes if the applicant's accounts payable will not pay an invoice without a purchase order number.</w:t>
      </w:r>
    </w:p>
    <w:p>
      <w:pPr>
        <w:spacing w:before="0" w:after="60" w:line="276" w:lineRule="auto"/>
        <w:ind w:left="340" w:hanging="340"/>
      </w:pPr>
      <w:r>
        <w:rPr>
          <w:b w:val="0"/>
          <w:i w:val="0"/>
          <w:sz w:val="21"/>
        </w:rPr>
        <w:t>•</w:t>
        <w:tab/>
        <w:t>Bankruptcy: whether the applicant, or any principal, has filed for bankruptcy in the last seven years.</w:t>
      </w:r>
    </w:p>
    <w:p>
      <w:pPr>
        <w:spacing w:before="0" w:after="60" w:line="276" w:lineRule="auto"/>
        <w:ind w:left="340" w:hanging="340"/>
      </w:pPr>
      <w:r>
        <w:rPr>
          <w:b w:val="0"/>
          <w:i w:val="0"/>
          <w:sz w:val="21"/>
        </w:rPr>
        <w:t>•</w:t>
        <w:tab/>
        <w:t>Billing address: the address to which invoices and statements are sent — street, city, state, ZIP and country. Where the applicant has more than one office, give the accounts payable office.</w:t>
      </w:r>
    </w:p>
    <w:p>
      <w:pPr>
        <w:spacing w:before="160" w:after="60" w:line="276" w:lineRule="auto"/>
      </w:pPr>
      <w:r>
        <w:rPr>
          <w:b/>
          <w:i w:val="0"/>
          <w:sz w:val="21"/>
        </w:rPr>
        <w:t>3.3  Contact and references</w:t>
      </w:r>
    </w:p>
    <w:p>
      <w:pPr>
        <w:spacing w:before="0" w:after="60" w:line="276" w:lineRule="auto"/>
        <w:ind w:left="340" w:hanging="340"/>
      </w:pPr>
      <w:r>
        <w:rPr>
          <w:b w:val="0"/>
          <w:i w:val="0"/>
          <w:sz w:val="21"/>
        </w:rPr>
        <w:t>•</w:t>
        <w:tab/>
        <w:t>Primary contact: the person the Credit Department may contact about the application and the account, with title, e-mail and direct telephone.</w:t>
      </w:r>
    </w:p>
    <w:p>
      <w:pPr>
        <w:spacing w:before="0" w:after="60" w:line="276" w:lineRule="auto"/>
        <w:ind w:left="340" w:hanging="340"/>
      </w:pPr>
      <w:r>
        <w:rPr>
          <w:b w:val="0"/>
          <w:i w:val="0"/>
          <w:sz w:val="21"/>
        </w:rPr>
        <w:t>•</w:t>
        <w:tab/>
        <w:t>Trade references: businesses that have extended credit to the applicant. Give the reference's name, the applicant's account number with that reference, the city and state, and a telephone number for the reference's accounts receivable department. References are contacted directly; the applicant should tell them to expect the enquiry.</w:t>
      </w:r>
    </w:p>
    <w:p>
      <w:pPr>
        <w:spacing w:before="160" w:after="60" w:line="276" w:lineRule="auto"/>
      </w:pPr>
      <w:r>
        <w:rPr>
          <w:b/>
          <w:i w:val="0"/>
          <w:sz w:val="21"/>
        </w:rPr>
        <w:t>3.4  Frequently asked questions</w:t>
      </w:r>
    </w:p>
    <w:p>
      <w:pPr>
        <w:spacing w:before="160" w:after="60" w:line="276" w:lineRule="auto"/>
      </w:pPr>
      <w:r>
        <w:rPr>
          <w:b/>
          <w:i w:val="0"/>
          <w:sz w:val="21"/>
        </w:rPr>
        <w:t>We have two addresses. Which one goes on the form?</w:t>
      </w:r>
    </w:p>
    <w:p>
      <w:pPr>
        <w:spacing w:before="0" w:after="80" w:line="276" w:lineRule="auto"/>
      </w:pPr>
      <w:r>
        <w:rPr>
          <w:b w:val="0"/>
          <w:i w:val="0"/>
          <w:sz w:val="21"/>
        </w:rPr>
        <w:t>The billing address is where the accounts payable function sits. Shipping addresses are added to the account after it is opened and may be as many as needed.</w:t>
      </w:r>
    </w:p>
    <w:p>
      <w:pPr>
        <w:spacing w:before="160" w:after="60" w:line="276" w:lineRule="auto"/>
      </w:pPr>
      <w:r>
        <w:rPr>
          <w:b/>
          <w:i w:val="0"/>
          <w:sz w:val="21"/>
        </w:rPr>
        <w:t>Our revenue is confidential.</w:t>
      </w:r>
    </w:p>
    <w:p>
      <w:pPr>
        <w:spacing w:before="0" w:after="80" w:line="276" w:lineRule="auto"/>
      </w:pPr>
      <w:r>
        <w:rPr>
          <w:b w:val="0"/>
          <w:i w:val="0"/>
          <w:sz w:val="21"/>
        </w:rPr>
        <w:t>The figure is used only to size the credit limit and is held under the data protection notice in Section 8. An application without a revenue figure is assessed as a Prospect on prepayment terms.</w:t>
      </w:r>
    </w:p>
    <w:p>
      <w:pPr>
        <w:spacing w:before="160" w:after="60" w:line="276" w:lineRule="auto"/>
      </w:pPr>
      <w:r>
        <w:rPr>
          <w:b/>
          <w:i w:val="0"/>
          <w:sz w:val="21"/>
        </w:rPr>
        <w:t>We cannot give three trade references.</w:t>
      </w:r>
    </w:p>
    <w:p>
      <w:pPr>
        <w:spacing w:before="0" w:after="80" w:line="276" w:lineRule="auto"/>
      </w:pPr>
      <w:r>
        <w:rPr>
          <w:b w:val="0"/>
          <w:i w:val="0"/>
          <w:sz w:val="21"/>
        </w:rPr>
        <w:t>Give as many as you can. A bank reference and two trade references are usually sufficient for a limit up to twenty-five thousand dollars.</w:t>
      </w:r>
    </w:p>
    <w:p>
      <w:pPr>
        <w:spacing w:before="160" w:after="60" w:line="276" w:lineRule="auto"/>
      </w:pPr>
      <w:r>
        <w:rPr>
          <w:b/>
          <w:i w:val="0"/>
          <w:sz w:val="21"/>
        </w:rPr>
        <w:t>How long is the application valid?</w:t>
      </w:r>
    </w:p>
    <w:p>
      <w:pPr>
        <w:spacing w:before="0" w:after="80" w:line="276" w:lineRule="auto"/>
      </w:pPr>
      <w:r>
        <w:rPr>
          <w:b w:val="0"/>
          <w:i w:val="0"/>
          <w:sz w:val="21"/>
        </w:rPr>
        <w:t>Ninety days from the date of signature. An application older than that is refreshed by a telephone call to the primary contact before assessment.</w:t>
      </w:r>
    </w:p>
    <w:p>
      <w:pPr>
        <w:spacing w:before="160" w:after="60" w:line="276" w:lineRule="auto"/>
      </w:pPr>
      <w:r>
        <w:rPr>
          <w:b/>
          <w:i w:val="0"/>
          <w:sz w:val="21"/>
        </w:rPr>
        <w:t>Can the account be opened in a trading name?</w:t>
      </w:r>
    </w:p>
    <w:p>
      <w:pPr>
        <w:spacing w:before="0" w:after="80" w:line="276" w:lineRule="auto"/>
      </w:pPr>
      <w:r>
        <w:rPr>
          <w:b w:val="0"/>
          <w:i w:val="0"/>
          <w:sz w:val="21"/>
        </w:rPr>
        <w:t>No. The account is opened in the legal name; the trading name is recorded as the DBA and may be printed on delivery documents.</w:t>
      </w:r>
    </w:p>
    <w:p>
      <w:pPr>
        <w:spacing w:before="160" w:after="60" w:line="276" w:lineRule="auto"/>
      </w:pPr>
      <w:r>
        <w:rPr>
          <w:b/>
          <w:i w:val="0"/>
          <w:sz w:val="21"/>
        </w:rPr>
        <w:t>What if the entity type changes after opening?</w:t>
      </w:r>
    </w:p>
    <w:p>
      <w:pPr>
        <w:spacing w:before="0" w:after="80" w:line="276" w:lineRule="auto"/>
      </w:pPr>
      <w:r>
        <w:rPr>
          <w:b w:val="0"/>
          <w:i w:val="0"/>
          <w:sz w:val="21"/>
        </w:rPr>
        <w:t>Notify the Credit Department within thirty days under Section 1.9. A change from a sole proprietorship or partnership to a corporation or LLC requires a fresh application, since the debtor changes.</w:t>
      </w:r>
    </w:p>
    <w:p>
      <w:pPr>
        <w:spacing w:before="160" w:after="60" w:line="276" w:lineRule="auto"/>
      </w:pPr>
      <w:r>
        <w:rPr>
          <w:b/>
          <w:i w:val="0"/>
          <w:sz w:val="21"/>
        </w:rPr>
        <w:t>Do you need the employee count exactly?</w:t>
      </w:r>
    </w:p>
    <w:p>
      <w:pPr>
        <w:spacing w:before="0" w:after="80" w:line="276" w:lineRule="auto"/>
      </w:pPr>
      <w:r>
        <w:rPr>
          <w:b w:val="0"/>
          <w:i w:val="0"/>
          <w:sz w:val="21"/>
        </w:rPr>
        <w:t>The headcount at the last fiscal year end, to the nearest ten, is sufficient. It is used with revenue to classify the account for reporting.</w:t>
      </w:r>
    </w:p>
    <w:p>
      <w:pPr>
        <w:spacing w:before="160" w:after="60" w:line="276" w:lineRule="auto"/>
      </w:pPr>
      <w:r>
        <w:rPr>
          <w:b/>
          <w:i w:val="0"/>
          <w:sz w:val="21"/>
        </w:rPr>
        <w:t>Our purchasing is centralised at a parent company.</w:t>
      </w:r>
    </w:p>
    <w:p>
      <w:pPr>
        <w:spacing w:before="0" w:after="80" w:line="276" w:lineRule="auto"/>
      </w:pPr>
      <w:r>
        <w:rPr>
          <w:b w:val="0"/>
          <w:i w:val="0"/>
          <w:sz w:val="21"/>
        </w:rPr>
        <w:t>Apply in the name of the entity that will be invoiced and will pay. If that is the parent, the parent applies and lists the operating locations as shipping addresses after the account opens.</w:t>
      </w:r>
    </w:p>
    <w:p>
      <w:pPr>
        <w:spacing w:before="160" w:after="60" w:line="276" w:lineRule="auto"/>
      </w:pPr>
      <w:r>
        <w:rPr>
          <w:b/>
          <w:i w:val="0"/>
          <w:sz w:val="21"/>
        </w:rPr>
        <w:t>Can a reference be a bank?</w:t>
      </w:r>
    </w:p>
    <w:p>
      <w:pPr>
        <w:spacing w:before="0" w:after="80" w:line="276" w:lineRule="auto"/>
      </w:pPr>
      <w:r>
        <w:rPr>
          <w:b w:val="0"/>
          <w:i w:val="0"/>
          <w:sz w:val="21"/>
        </w:rPr>
        <w:t>One bank reference is requested separately. Trade references should be suppliers, not banks, landlords or utilities.</w:t>
      </w:r>
    </w:p>
    <w:p>
      <w:pPr>
        <w:spacing w:before="160" w:after="60" w:line="276" w:lineRule="auto"/>
      </w:pPr>
      <w:r>
        <w:rPr>
          <w:b/>
          <w:i w:val="0"/>
          <w:sz w:val="21"/>
        </w:rPr>
        <w:t>How is the credit limit communicated?</w:t>
      </w:r>
    </w:p>
    <w:p>
      <w:pPr>
        <w:spacing w:before="0" w:after="80" w:line="276" w:lineRule="auto"/>
      </w:pPr>
      <w:r>
        <w:rPr>
          <w:b w:val="0"/>
          <w:i w:val="0"/>
          <w:sz w:val="21"/>
        </w:rPr>
        <w:t>In the welcome letter, which states the limit, the term, the pricing tier and the purchase-order setting. The limit is also visible to named users on the web portal.</w:t>
      </w:r>
    </w:p>
    <w:p>
      <w:r>
        <w:br w:type="page"/>
      </w:r>
    </w:p>
    <w:p>
      <w:pPr>
        <w:spacing w:before="160" w:after="60" w:line="276" w:lineRule="auto"/>
      </w:pPr>
      <w:r>
        <w:rPr>
          <w:b/>
          <w:i w:val="0"/>
          <w:sz w:val="21"/>
        </w:rPr>
        <w:t>3.5  Worked specimen</w:t>
      </w:r>
    </w:p>
    <w:p>
      <w:pPr>
        <w:spacing w:before="0" w:after="80" w:line="276" w:lineRule="auto"/>
      </w:pPr>
      <w:r>
        <w:rPr>
          <w:b w:val="0"/>
          <w:i w:val="0"/>
          <w:sz w:val="21"/>
        </w:rPr>
        <w:t>The following pages show a specimen credit application completed for an imaginary company, to illustrate how each band is filled in. The particulars are fictitious and are printed for guidance only. Do not copy any value from the specimen into your own application.</w:t>
      </w:r>
    </w:p>
    <w:p>
      <w:pPr>
        <w:spacing w:before="0" w:after="120" w:line="276" w:lineRule="auto"/>
      </w:pPr>
      <w:r>
        <w:rPr>
          <w:b w:val="0"/>
          <w:i/>
          <w:sz w:val="17"/>
        </w:rPr>
        <w:t>SPECIMEN — FOR GUIDANCE ONLY — NOT AN APPLICATION</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APP-0000-00000</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Example Company Inc. (SPECIMEN)</w:t>
      </w:r>
      <w:r>
        <w:rPr>
          <w:sz w:val="17"/>
        </w:rPr>
        <w:t xml:space="preserve">    </w:t>
      </w:r>
      <w:r>
        <w:rPr>
          <w:b/>
          <w:sz w:val="15"/>
        </w:rPr>
        <w:t xml:space="preserve">Doing business as (DBA), if different: </w:t>
      </w:r>
      <w:r>
        <w:rPr>
          <w:sz w:val="17"/>
          <w:u w:val="single"/>
        </w:rPr>
        <w:t xml:space="preserve">Example Trading           </w:t>
      </w:r>
      <w:r>
        <w:rPr>
          <w:sz w:val="17"/>
        </w:rPr>
        <w:t xml:space="preserve">    </w:t>
      </w:r>
    </w:p>
    <w:p>
      <w:pPr>
        <w:spacing w:after="60"/>
      </w:pPr>
      <w:r>
        <w:rPr>
          <w:b/>
          <w:sz w:val="15"/>
        </w:rPr>
        <w:t xml:space="preserve">Telephone: </w:t>
      </w:r>
      <w:r>
        <w:rPr>
          <w:sz w:val="17"/>
          <w:u w:val="single"/>
        </w:rPr>
        <w:t xml:space="preserve">(000) 000-0000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www.example.com           </w:t>
      </w:r>
      <w:r>
        <w:rPr>
          <w:sz w:val="17"/>
        </w:rPr>
        <w:t xml:space="preserve">    </w:t>
      </w:r>
    </w:p>
    <w:p>
      <w:pPr>
        <w:spacing w:after="60"/>
      </w:pPr>
      <w:r>
        <w:rPr>
          <w:b/>
          <w:sz w:val="15"/>
        </w:rPr>
        <w:t xml:space="preserve">Fed Employer ID Number (Tax ID): </w:t>
      </w:r>
      <w:r>
        <w:rPr>
          <w:sz w:val="17"/>
          <w:u w:val="single"/>
        </w:rPr>
        <w:t xml:space="preserve">00-0000000                </w:t>
      </w:r>
      <w:r>
        <w:rPr>
          <w:sz w:val="17"/>
        </w:rPr>
        <w:t xml:space="preserve">    </w:t>
      </w:r>
      <w:r>
        <w:rPr>
          <w:b/>
          <w:sz w:val="15"/>
        </w:rPr>
        <w:t xml:space="preserve">DUNS: </w:t>
      </w:r>
      <w:r>
        <w:rPr>
          <w:sz w:val="17"/>
          <w:u w:val="single"/>
        </w:rPr>
        <w:t xml:space="preserve">00-000-0000               </w:t>
      </w:r>
      <w:r>
        <w:rPr>
          <w:sz w:val="17"/>
        </w:rPr>
        <w:t xml:space="preserve">    </w:t>
      </w:r>
      <w:r>
        <w:rPr>
          <w:b/>
          <w:sz w:val="15"/>
        </w:rPr>
        <w:t xml:space="preserve">Business Start Date: </w:t>
      </w:r>
      <w:r>
        <w:rPr>
          <w:sz w:val="17"/>
          <w:u w:val="single"/>
        </w:rPr>
        <w:t xml:space="preserve">2000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1 Example Street, Suite 1                                   </w:t>
      </w:r>
      <w:r>
        <w:rPr>
          <w:sz w:val="17"/>
        </w:rPr>
        <w:t xml:space="preserve">    </w:t>
      </w:r>
    </w:p>
    <w:p>
      <w:pPr>
        <w:spacing w:after="60"/>
      </w:pPr>
      <w:r>
        <w:rPr>
          <w:b/>
          <w:sz w:val="15"/>
        </w:rPr>
        <w:t xml:space="preserve">City: </w:t>
      </w:r>
      <w:r>
        <w:rPr>
          <w:sz w:val="17"/>
          <w:u w:val="single"/>
        </w:rPr>
        <w:t xml:space="preserve">Anytown       </w:t>
      </w:r>
      <w:r>
        <w:rPr>
          <w:sz w:val="17"/>
        </w:rPr>
        <w:t xml:space="preserve">    </w:t>
      </w:r>
      <w:r>
        <w:rPr>
          <w:b/>
          <w:sz w:val="15"/>
        </w:rPr>
        <w:t xml:space="preserve">State: </w:t>
      </w:r>
      <w:r>
        <w:rPr>
          <w:sz w:val="17"/>
          <w:u w:val="single"/>
        </w:rPr>
        <w:t xml:space="preserve">TX            </w:t>
      </w:r>
      <w:r>
        <w:rPr>
          <w:sz w:val="17"/>
        </w:rPr>
        <w:t xml:space="preserve">    </w:t>
      </w:r>
      <w:r>
        <w:rPr>
          <w:b/>
          <w:sz w:val="15"/>
        </w:rPr>
        <w:t xml:space="preserve">Zip: </w:t>
      </w:r>
      <w:r>
        <w:rPr>
          <w:sz w:val="17"/>
          <w:u w:val="single"/>
        </w:rPr>
        <w:t xml:space="preserve">00000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Other                     </w:t>
      </w:r>
      <w:r>
        <w:rPr>
          <w:sz w:val="17"/>
        </w:rPr>
        <w:t xml:space="preserve">    </w:t>
      </w:r>
      <w:r>
        <w:rPr>
          <w:b/>
          <w:sz w:val="15"/>
        </w:rPr>
        <w:t xml:space="preserve"># of Employees: </w:t>
      </w:r>
      <w:r>
        <w:rPr>
          <w:sz w:val="17"/>
          <w:u w:val="single"/>
        </w:rPr>
        <w:t xml:space="preserve">10                        </w:t>
      </w:r>
      <w:r>
        <w:rPr>
          <w:sz w:val="17"/>
        </w:rPr>
        <w:t xml:space="preserve">    </w:t>
      </w:r>
    </w:p>
    <w:p>
      <w:pPr>
        <w:spacing w:after="60"/>
      </w:pPr>
      <w:r>
        <w:rPr>
          <w:b/>
          <w:sz w:val="15"/>
        </w:rPr>
        <w:t xml:space="preserve">Gross Annual Revenue $: </w:t>
      </w:r>
      <w:r>
        <w:rPr>
          <w:sz w:val="17"/>
          <w:u w:val="single"/>
        </w:rPr>
        <w:t xml:space="preserve">1,000,000                     </w:t>
      </w:r>
      <w:r>
        <w:rPr>
          <w:sz w:val="17"/>
        </w:rPr>
        <w:t xml:space="preserve">    </w:t>
      </w:r>
    </w:p>
    <w:p>
      <w:pPr>
        <w:spacing w:after="60"/>
      </w:pPr>
      <w:r>
        <w:rPr>
          <w:b/>
          <w:sz w:val="15"/>
        </w:rPr>
        <w:t xml:space="preserve">Description of Business: </w:t>
      </w:r>
      <w:r>
        <w:rPr>
          <w:sz w:val="17"/>
          <w:u w:val="single"/>
        </w:rPr>
        <w:t>Describe the applicant's principal business activity in one or two sentences, saying what it makes or does and for whom.</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50,000</w:t>
            </w:r>
          </w:p>
        </w:tc>
        <w:tc>
          <w:tcPr>
            <w:tcW w:type="dxa" w:w="3515"/>
          </w:tcPr>
          <w:p>
            <w:pPr>
              <w:spacing w:before="0" w:after="0"/>
            </w:pPr>
            <w:r/>
            <w:r>
              <w:rPr>
                <w:b/>
                <w:i w:val="0"/>
                <w:sz w:val="13"/>
              </w:rPr>
              <w:t>Monthly spend with this supplier $</w:t>
            </w:r>
          </w:p>
          <w:p>
            <w:pPr>
              <w:spacing w:before="0" w:after="0"/>
            </w:pPr>
            <w:r>
              <w:rPr>
                <w:b w:val="0"/>
                <w:i w:val="0"/>
                <w:sz w:val="20"/>
              </w:rPr>
              <w:t>5,000</w:t>
            </w:r>
          </w:p>
        </w:tc>
        <w:tc>
          <w:tcPr>
            <w:tcW w:type="dxa" w:w="3515"/>
          </w:tcPr>
          <w:p>
            <w:pPr>
              <w:spacing w:before="0" w:after="0"/>
            </w:pPr>
            <w:r/>
            <w:r>
              <w:rPr>
                <w:b/>
                <w:i w:val="0"/>
                <w:sz w:val="13"/>
              </w:rPr>
              <w:t>PO number required for payment</w:t>
            </w:r>
          </w:p>
          <w:p>
            <w:pPr>
              <w:spacing w:before="0" w:after="0"/>
            </w:pPr>
            <w:r>
              <w:rPr>
                <w:b w:val="0"/>
                <w:i w:val="0"/>
                <w:sz w:val="20"/>
              </w:rPr>
              <w:t>No</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Primary Phone: </w:t>
      </w:r>
      <w:r>
        <w:rPr>
          <w:sz w:val="17"/>
          <w:u w:val="single"/>
        </w:rPr>
        <w:t xml:space="preserve">(000) 000-0001            </w:t>
      </w:r>
      <w:r>
        <w:rPr>
          <w:sz w:val="17"/>
        </w:rPr>
        <w:t xml:space="preserve">    </w:t>
      </w:r>
      <w:r>
        <w:rPr>
          <w:b/>
          <w:sz w:val="15"/>
        </w:rPr>
        <w:t xml:space="preserve">E-mail: </w:t>
      </w:r>
      <w:r>
        <w:rPr>
          <w:sz w:val="17"/>
          <w:u w:val="single"/>
        </w:rPr>
        <w:t xml:space="preserve">contact@example.com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Reference Company A</w:t>
            </w:r>
          </w:p>
          <w:p>
            <w:pPr>
              <w:spacing w:before="0" w:after="0"/>
            </w:pPr>
            <w:r>
              <w:rPr>
                <w:b w:val="0"/>
                <w:i w:val="0"/>
                <w:sz w:val="15"/>
              </w:rPr>
              <w:t>Account #: REF-001          Phone: (000) 000-0002</w:t>
            </w:r>
          </w:p>
          <w:p>
            <w:pPr>
              <w:spacing w:before="0" w:after="0"/>
            </w:pPr>
            <w:r>
              <w:rPr>
                <w:b w:val="0"/>
                <w:i w:val="0"/>
                <w:sz w:val="15"/>
              </w:rPr>
              <w:t>City / State: Anytown, TX</w:t>
            </w:r>
          </w:p>
        </w:tc>
        <w:tc>
          <w:tcPr>
            <w:tcW w:type="dxa" w:w="5272"/>
          </w:tcPr>
          <w:p>
            <w:pPr>
              <w:spacing w:before="0" w:after="0"/>
            </w:pPr>
            <w:r/>
            <w:r>
              <w:rPr>
                <w:b/>
                <w:i w:val="0"/>
                <w:sz w:val="12"/>
              </w:rPr>
              <w:t>TRADE REFERENCE 2</w:t>
            </w:r>
          </w:p>
          <w:p>
            <w:pPr>
              <w:spacing w:before="0" w:after="0"/>
            </w:pPr>
            <w:r>
              <w:rPr>
                <w:b w:val="0"/>
                <w:i w:val="0"/>
                <w:sz w:val="15"/>
              </w:rPr>
              <w:t>Vendor Name: Reference Company B</w:t>
            </w:r>
          </w:p>
          <w:p>
            <w:pPr>
              <w:spacing w:before="0" w:after="0"/>
            </w:pPr>
            <w:r>
              <w:rPr>
                <w:b w:val="0"/>
                <w:i w:val="0"/>
                <w:sz w:val="15"/>
              </w:rPr>
              <w:t>Account #: REF-002          Phone: (000) 000-0003</w:t>
            </w:r>
          </w:p>
          <w:p>
            <w:pPr>
              <w:spacing w:before="0" w:after="0"/>
            </w:pPr>
            <w:r>
              <w:rPr>
                <w:b w:val="0"/>
                <w:i w:val="0"/>
                <w:sz w:val="15"/>
              </w:rPr>
              <w:t>City / State: Anytown, TX</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Sample Contact            </w:t>
      </w:r>
      <w:r>
        <w:rPr>
          <w:sz w:val="17"/>
        </w:rPr>
        <w:t xml:space="preserve">    </w:t>
      </w:r>
      <w:r>
        <w:rPr>
          <w:b/>
          <w:sz w:val="15"/>
        </w:rPr>
        <w:t xml:space="preserve">Title: </w:t>
      </w:r>
      <w:r>
        <w:rPr>
          <w:sz w:val="17"/>
          <w:u w:val="single"/>
        </w:rPr>
        <w:t xml:space="preserve">Title of the contact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Credit Application (completed)</w:t>
      </w:r>
    </w:p>
    <w:p>
      <w:pPr>
        <w:spacing w:before="0" w:after="80" w:line="276" w:lineRule="auto"/>
      </w:pPr>
      <w:r>
        <w:rPr>
          <w:b w:val="0"/>
          <w:i w:val="0"/>
          <w:sz w:val="21"/>
        </w:rPr>
        <w:t>The Applicant's completed credit application follows on the next page. It is the source of every value entered when the account record is created in the customer system. The specimen in Section 3.5 is an illustration only and must not be used.</w:t>
      </w:r>
    </w:p>
    <w:p>
      <w:r>
        <w:br w:type="page"/>
      </w:r>
    </w:p>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APP-2026-00318</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 xml:space="preserve">Northwind Components Ltd. </w:t>
      </w:r>
      <w:r>
        <w:rPr>
          <w:sz w:val="17"/>
        </w:rPr>
        <w:t xml:space="preserve">    </w:t>
      </w:r>
      <w:r>
        <w:rPr>
          <w:b/>
          <w:sz w:val="15"/>
        </w:rPr>
        <w:t xml:space="preserve">Doing business as (DBA), if different: </w:t>
      </w:r>
      <w:r>
        <w:rPr>
          <w:sz w:val="17"/>
          <w:u w:val="single"/>
        </w:rPr>
        <w:t xml:space="preserve">____________              </w:t>
      </w:r>
      <w:r>
        <w:rPr>
          <w:sz w:val="17"/>
        </w:rPr>
        <w:t xml:space="preserve">    </w:t>
      </w:r>
    </w:p>
    <w:p>
      <w:pPr>
        <w:spacing w:after="60"/>
      </w:pPr>
      <w:r>
        <w:rPr>
          <w:b/>
          <w:sz w:val="15"/>
        </w:rPr>
        <w:t xml:space="preserve">Telephone: </w:t>
      </w:r>
      <w:r>
        <w:rPr>
          <w:sz w:val="17"/>
          <w:u w:val="single"/>
        </w:rPr>
        <w:t xml:space="preserve">(555) 412-8890            </w:t>
      </w:r>
      <w:r>
        <w:rPr>
          <w:sz w:val="17"/>
        </w:rPr>
        <w:t xml:space="preserve">    </w:t>
      </w:r>
      <w:r>
        <w:rPr>
          <w:b/>
          <w:sz w:val="15"/>
        </w:rPr>
        <w:t xml:space="preserve">Fax: </w:t>
      </w:r>
      <w:r>
        <w:rPr>
          <w:sz w:val="17"/>
          <w:u w:val="single"/>
        </w:rPr>
        <w:t xml:space="preserve">(555) 412-8891            </w:t>
      </w:r>
      <w:r>
        <w:rPr>
          <w:sz w:val="17"/>
        </w:rPr>
        <w:t xml:space="preserve">    </w:t>
      </w:r>
      <w:r>
        <w:rPr>
          <w:b/>
          <w:sz w:val="15"/>
        </w:rPr>
        <w:t xml:space="preserve">Company Website: </w:t>
      </w:r>
      <w:r>
        <w:rPr>
          <w:sz w:val="17"/>
          <w:u w:val="single"/>
        </w:rPr>
        <w:t>www.northwindcomponents.com</w:t>
      </w:r>
      <w:r>
        <w:rPr>
          <w:sz w:val="17"/>
        </w:rPr>
        <w:t xml:space="preserve">    </w:t>
      </w:r>
    </w:p>
    <w:p>
      <w:pPr>
        <w:spacing w:after="60"/>
      </w:pPr>
      <w:r>
        <w:rPr>
          <w:b/>
          <w:sz w:val="15"/>
        </w:rPr>
        <w:t xml:space="preserve">Fed Employer ID Number (Tax ID): </w:t>
      </w:r>
      <w:r>
        <w:rPr>
          <w:sz w:val="17"/>
          <w:u w:val="single"/>
        </w:rPr>
        <w:t xml:space="preserve">56-0447119                </w:t>
      </w:r>
      <w:r>
        <w:rPr>
          <w:sz w:val="17"/>
        </w:rPr>
        <w:t xml:space="preserve">    </w:t>
      </w:r>
      <w:r>
        <w:rPr>
          <w:b/>
          <w:sz w:val="15"/>
        </w:rPr>
        <w:t xml:space="preserve">DUNS: </w:t>
      </w:r>
      <w:r>
        <w:rPr>
          <w:sz w:val="17"/>
          <w:u w:val="single"/>
        </w:rPr>
        <w:t xml:space="preserve">07-441-8820               </w:t>
      </w:r>
      <w:r>
        <w:rPr>
          <w:sz w:val="17"/>
        </w:rPr>
        <w:t xml:space="preserve">    </w:t>
      </w:r>
      <w:r>
        <w:rPr>
          <w:b/>
          <w:sz w:val="15"/>
        </w:rPr>
        <w:t xml:space="preserve">Business Start Date: </w:t>
      </w:r>
      <w:r>
        <w:rPr>
          <w:sz w:val="17"/>
          <w:u w:val="single"/>
        </w:rPr>
        <w:t xml:space="preserve">1998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ADDRESS</w:t>
            </w:r>
          </w:p>
        </w:tc>
      </w:tr>
    </w:tbl>
    <w:p>
      <w:r>
        <w:rPr>
          <w:b/>
          <w:sz w:val="14"/>
        </w:rPr>
        <w:t xml:space="preserve">Street </w:t>
      </w:r>
      <w:r>
        <w:rPr>
          <w:i/>
          <w:color w:val="C00000"/>
          <w:sz w:val="12"/>
        </w:rPr>
        <w:t>(required)</w:t>
      </w:r>
      <w:r>
        <w:rPr>
          <w:i/>
          <w:sz w:val="12"/>
        </w:rPr>
        <w:t xml:space="preserve">  — No P.O. Boxes or CMRA</w:t>
      </w:r>
    </w:p>
    <w:p>
      <w:pPr>
        <w:spacing w:after="60"/>
      </w:pPr>
      <w:r>
        <w:rPr>
          <w:b/>
          <w:sz w:val="15"/>
        </w:rPr>
        <w:t xml:space="preserve">Street: </w:t>
      </w:r>
      <w:r>
        <w:rPr>
          <w:sz w:val="17"/>
          <w:u w:val="single"/>
        </w:rPr>
        <w:t xml:space="preserve">4820 Meridian Parkway, Suite 300                            </w:t>
      </w:r>
      <w:r>
        <w:rPr>
          <w:sz w:val="17"/>
        </w:rPr>
        <w:t xml:space="preserve">    </w:t>
      </w:r>
    </w:p>
    <w:p>
      <w:pPr>
        <w:spacing w:after="60"/>
      </w:pPr>
      <w:r>
        <w:rPr>
          <w:b/>
          <w:sz w:val="15"/>
        </w:rPr>
        <w:t xml:space="preserve">City: </w:t>
      </w:r>
      <w:r>
        <w:rPr>
          <w:sz w:val="17"/>
          <w:u w:val="single"/>
        </w:rPr>
        <w:t xml:space="preserve">Raleigh       </w:t>
      </w:r>
      <w:r>
        <w:rPr>
          <w:sz w:val="17"/>
        </w:rPr>
        <w:t xml:space="preserve">    </w:t>
      </w:r>
      <w:r>
        <w:rPr>
          <w:b/>
          <w:sz w:val="15"/>
        </w:rPr>
        <w:t xml:space="preserve">State: </w:t>
      </w:r>
      <w:r>
        <w:rPr>
          <w:sz w:val="17"/>
          <w:u w:val="single"/>
        </w:rPr>
        <w:t xml:space="preserve">NC            </w:t>
      </w:r>
      <w:r>
        <w:rPr>
          <w:sz w:val="17"/>
        </w:rPr>
        <w:t xml:space="preserve">    </w:t>
      </w:r>
      <w:r>
        <w:rPr>
          <w:b/>
          <w:sz w:val="15"/>
        </w:rPr>
        <w:t xml:space="preserve">Zip: </w:t>
      </w:r>
      <w:r>
        <w:rPr>
          <w:sz w:val="17"/>
          <w:u w:val="single"/>
        </w:rPr>
        <w:t xml:space="preserve">27606         </w:t>
      </w:r>
      <w:r>
        <w:rPr>
          <w:sz w:val="17"/>
        </w:rPr>
        <w:t xml:space="preserve">    </w:t>
      </w:r>
      <w:r>
        <w:rPr>
          <w:b/>
          <w:sz w:val="15"/>
        </w:rPr>
        <w:t xml:space="preserve">Country: </w:t>
      </w:r>
      <w:r>
        <w:rPr>
          <w:sz w:val="17"/>
          <w:u w:val="single"/>
        </w:rPr>
        <w:t xml:space="preserve">USA           </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 xml:space="preserve">Electronics Manufacturing </w:t>
      </w:r>
      <w:r>
        <w:rPr>
          <w:sz w:val="17"/>
        </w:rPr>
        <w:t xml:space="preserve">    </w:t>
      </w:r>
      <w:r>
        <w:rPr>
          <w:b/>
          <w:sz w:val="15"/>
        </w:rPr>
        <w:t xml:space="preserve"># of Employees: </w:t>
      </w:r>
      <w:r>
        <w:rPr>
          <w:sz w:val="17"/>
          <w:u w:val="single"/>
        </w:rPr>
        <w:t xml:space="preserve">180                       </w:t>
      </w:r>
      <w:r>
        <w:rPr>
          <w:sz w:val="17"/>
        </w:rPr>
        <w:t xml:space="preserve">    </w:t>
      </w:r>
    </w:p>
    <w:p>
      <w:pPr>
        <w:spacing w:after="60"/>
      </w:pPr>
      <w:r>
        <w:rPr>
          <w:b/>
          <w:sz w:val="15"/>
        </w:rPr>
        <w:t xml:space="preserve">Gross Annual Revenue $: </w:t>
      </w:r>
      <w:r>
        <w:rPr>
          <w:sz w:val="17"/>
          <w:u w:val="single"/>
        </w:rPr>
        <w:t xml:space="preserve">24,000,000                    </w:t>
      </w:r>
      <w:r>
        <w:rPr>
          <w:sz w:val="17"/>
        </w:rPr>
        <w:t xml:space="preserve">    </w:t>
      </w:r>
    </w:p>
    <w:p>
      <w:pPr>
        <w:spacing w:after="60"/>
      </w:pPr>
      <w:r>
        <w:rPr>
          <w:b/>
          <w:sz w:val="15"/>
        </w:rPr>
        <w:t xml:space="preserve">Description of Business: </w:t>
      </w:r>
      <w:r>
        <w:rPr>
          <w:sz w:val="17"/>
          <w:u w:val="single"/>
        </w:rPr>
        <w:t>Contract manufacturer of precision connectors and cable assemblies for the industrial automation sector.</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249"/>
        <w:gridCol w:w="3249"/>
        <w:gridCol w:w="3249"/>
      </w:tblGrid>
      <w:tr>
        <w:tc>
          <w:tcPr>
            <w:tcW w:type="dxa" w:w="3515"/>
          </w:tcPr>
          <w:p>
            <w:pPr>
              <w:spacing w:before="0" w:after="0"/>
            </w:pPr>
            <w:r/>
            <w:r>
              <w:rPr>
                <w:b/>
                <w:i w:val="0"/>
                <w:sz w:val="13"/>
              </w:rPr>
              <w:t>REQUESTED CREDIT LIMIT $</w:t>
            </w:r>
          </w:p>
          <w:p>
            <w:pPr>
              <w:spacing w:before="0" w:after="0"/>
            </w:pPr>
            <w:r>
              <w:rPr>
                <w:b/>
                <w:i w:val="0"/>
                <w:sz w:val="20"/>
              </w:rPr>
              <w:t>250,000</w:t>
            </w:r>
          </w:p>
        </w:tc>
        <w:tc>
          <w:tcPr>
            <w:tcW w:type="dxa" w:w="3515"/>
          </w:tcPr>
          <w:p>
            <w:pPr>
              <w:spacing w:before="0" w:after="0"/>
            </w:pPr>
            <w:r/>
            <w:r>
              <w:rPr>
                <w:b/>
                <w:i w:val="0"/>
                <w:sz w:val="13"/>
              </w:rPr>
              <w:t>Monthly spend with this supplier $</w:t>
            </w:r>
          </w:p>
          <w:p>
            <w:pPr>
              <w:spacing w:before="0" w:after="0"/>
            </w:pPr>
            <w:r>
              <w:rPr>
                <w:b w:val="0"/>
                <w:i w:val="0"/>
                <w:sz w:val="20"/>
              </w:rPr>
              <w:t>38,000</w:t>
            </w:r>
          </w:p>
        </w:tc>
        <w:tc>
          <w:tcPr>
            <w:tcW w:type="dxa" w:w="3515"/>
          </w:tcPr>
          <w:p>
            <w:pPr>
              <w:spacing w:before="0" w:after="0"/>
            </w:pPr>
            <w:r/>
            <w:r>
              <w:rPr>
                <w:b/>
                <w:i w:val="0"/>
                <w:sz w:val="13"/>
              </w:rPr>
              <w:t>PO number required for payment</w:t>
            </w:r>
          </w:p>
          <w:p>
            <w:pPr>
              <w:spacing w:before="0" w:after="0"/>
            </w:pPr>
            <w:r>
              <w:rPr>
                <w:b w:val="0"/>
                <w:i w:val="0"/>
                <w:sz w:val="20"/>
              </w:rPr>
              <w:t>Yes</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Diane Whitfield           </w:t>
      </w:r>
      <w:r>
        <w:rPr>
          <w:sz w:val="17"/>
        </w:rPr>
        <w:t xml:space="preserve">    </w:t>
      </w:r>
      <w:r>
        <w:rPr>
          <w:b/>
          <w:sz w:val="15"/>
        </w:rPr>
        <w:t xml:space="preserve">Title: </w:t>
      </w:r>
      <w:r>
        <w:rPr>
          <w:sz w:val="17"/>
          <w:u w:val="single"/>
        </w:rPr>
        <w:t xml:space="preserve">Commercial Director       </w:t>
      </w:r>
      <w:r>
        <w:rPr>
          <w:sz w:val="17"/>
        </w:rPr>
        <w:t xml:space="preserve">    </w:t>
      </w:r>
    </w:p>
    <w:p>
      <w:pPr>
        <w:spacing w:after="60"/>
      </w:pPr>
      <w:r>
        <w:rPr>
          <w:b/>
          <w:sz w:val="15"/>
        </w:rPr>
        <w:t xml:space="preserve">Primary Phone: </w:t>
      </w:r>
      <w:r>
        <w:rPr>
          <w:sz w:val="17"/>
          <w:u w:val="single"/>
        </w:rPr>
        <w:t xml:space="preserve">(555) 412-8895            </w:t>
      </w:r>
      <w:r>
        <w:rPr>
          <w:sz w:val="17"/>
        </w:rPr>
        <w:t xml:space="preserve">    </w:t>
      </w:r>
      <w:r>
        <w:rPr>
          <w:b/>
          <w:sz w:val="15"/>
        </w:rPr>
        <w:t xml:space="preserve">E-mail: </w:t>
      </w:r>
      <w:r>
        <w:rPr>
          <w:sz w:val="17"/>
          <w:u w:val="single"/>
        </w:rPr>
        <w:t>d.whitfield@northwindcomponents.com</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1</w:t>
            </w:r>
          </w:p>
          <w:p>
            <w:pPr>
              <w:spacing w:before="0" w:after="0"/>
            </w:pPr>
            <w:r>
              <w:rPr>
                <w:b w:val="0"/>
                <w:i w:val="0"/>
                <w:sz w:val="15"/>
              </w:rPr>
              <w:t>Vendor Name: Halstead Industrial Supply</w:t>
            </w:r>
          </w:p>
          <w:p>
            <w:pPr>
              <w:spacing w:before="0" w:after="0"/>
            </w:pPr>
            <w:r>
              <w:rPr>
                <w:b w:val="0"/>
                <w:i w:val="0"/>
                <w:sz w:val="15"/>
              </w:rPr>
              <w:t>Account #: 44-90218          Phone: (555) 771-2040</w:t>
            </w:r>
          </w:p>
          <w:p>
            <w:pPr>
              <w:spacing w:before="0" w:after="0"/>
            </w:pPr>
            <w:r>
              <w:rPr>
                <w:b w:val="0"/>
                <w:i w:val="0"/>
                <w:sz w:val="15"/>
              </w:rPr>
              <w:t>City / State: Raleigh, NC</w:t>
            </w:r>
          </w:p>
        </w:tc>
        <w:tc>
          <w:tcPr>
            <w:tcW w:type="dxa" w:w="5272"/>
          </w:tcPr>
          <w:p>
            <w:pPr>
              <w:spacing w:before="0" w:after="0"/>
            </w:pPr>
            <w:r/>
            <w:r>
              <w:rPr>
                <w:b/>
                <w:i w:val="0"/>
                <w:sz w:val="12"/>
              </w:rPr>
              <w:t>TRADE REFERENCE 2</w:t>
            </w:r>
          </w:p>
          <w:p>
            <w:pPr>
              <w:spacing w:before="0" w:after="0"/>
            </w:pPr>
            <w:r>
              <w:rPr>
                <w:b w:val="0"/>
                <w:i w:val="0"/>
                <w:sz w:val="15"/>
              </w:rPr>
              <w:t>Vendor Name: Cardinal Freight Systems</w:t>
            </w:r>
          </w:p>
          <w:p>
            <w:pPr>
              <w:spacing w:before="0" w:after="0"/>
            </w:pPr>
            <w:r>
              <w:rPr>
                <w:b w:val="0"/>
                <w:i w:val="0"/>
                <w:sz w:val="15"/>
              </w:rPr>
              <w:t>Account #: CF-11907          Phone: (555) 668-9912</w:t>
            </w:r>
          </w:p>
          <w:p>
            <w:pPr>
              <w:spacing w:before="0" w:after="0"/>
            </w:pPr>
            <w:r>
              <w:rPr>
                <w:b w:val="0"/>
                <w:i w:val="0"/>
                <w:sz w:val="15"/>
              </w:rPr>
              <w:t>City / State: Greensboro, NC</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tcPr>
          <w:p>
            <w:pPr>
              <w:spacing w:before="0" w:after="0"/>
            </w:pPr>
            <w:r/>
            <w:r>
              <w:rPr>
                <w:b/>
                <w:i w:val="0"/>
                <w:sz w:val="12"/>
              </w:rPr>
              <w:t>TRADE REFERENCE 3</w:t>
            </w:r>
          </w:p>
          <w:p>
            <w:pPr>
              <w:spacing w:before="0" w:after="0"/>
            </w:pPr>
            <w:r>
              <w:rPr>
                <w:b w:val="0"/>
                <w:i w:val="0"/>
                <w:sz w:val="15"/>
              </w:rPr>
              <w:t>Vendor Name: Piedmont Tooling Inc.</w:t>
            </w:r>
          </w:p>
          <w:p>
            <w:pPr>
              <w:spacing w:before="0" w:after="0"/>
            </w:pPr>
            <w:r>
              <w:rPr>
                <w:b w:val="0"/>
                <w:i w:val="0"/>
                <w:sz w:val="15"/>
              </w:rPr>
              <w:t>Account #: PT-2240          Phone: (555) 903-4417</w:t>
            </w:r>
          </w:p>
          <w:p>
            <w:pPr>
              <w:spacing w:before="0" w:after="0"/>
            </w:pPr>
            <w:r>
              <w:rPr>
                <w:b w:val="0"/>
                <w:i w:val="0"/>
                <w:sz w:val="15"/>
              </w:rPr>
              <w:t>City / State: Durham, NC</w:t>
            </w:r>
          </w:p>
        </w:tc>
        <w:tc>
          <w:tcPr>
            <w:tcW w:type="dxa" w:w="5272"/>
          </w:tcPr>
          <w:p>
            <w:pPr>
              <w:spacing w:before="0" w:after="0"/>
            </w:pPr>
            <w:r/>
            <w:r>
              <w:rPr>
                <w:b/>
                <w:i w:val="0"/>
                <w:sz w:val="12"/>
              </w:rPr>
              <w:t>TRADE REFERENCE 4</w:t>
            </w:r>
          </w:p>
          <w:p>
            <w:pPr>
              <w:spacing w:before="0" w:after="0"/>
            </w:pPr>
            <w:r>
              <w:rPr>
                <w:b w:val="0"/>
                <w:i w:val="0"/>
                <w:sz w:val="15"/>
              </w:rPr>
              <w:t>Vendor Name: Atlantic Wire &amp; Cable</w:t>
            </w:r>
          </w:p>
          <w:p>
            <w:pPr>
              <w:spacing w:before="0" w:after="0"/>
            </w:pPr>
            <w:r>
              <w:rPr>
                <w:b w:val="0"/>
                <w:i w:val="0"/>
                <w:sz w:val="15"/>
              </w:rPr>
              <w:t>Account #: AWC-8813          Phone: (555) 220-7764</w:t>
            </w:r>
          </w:p>
          <w:p>
            <w:pPr>
              <w:spacing w:before="0" w:after="0"/>
            </w:pPr>
            <w:r>
              <w:rPr>
                <w:b w:val="0"/>
                <w:i w:val="0"/>
                <w:sz w:val="15"/>
              </w:rPr>
              <w:t>City / State: Norfolk, VA</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9746"/>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Diane Whitfield           </w:t>
      </w:r>
      <w:r>
        <w:rPr>
          <w:sz w:val="17"/>
        </w:rPr>
        <w:t xml:space="preserve">    </w:t>
      </w:r>
      <w:r>
        <w:rPr>
          <w:b/>
          <w:sz w:val="15"/>
        </w:rPr>
        <w:t xml:space="preserve">Title: </w:t>
      </w:r>
      <w:r>
        <w:rPr>
          <w:sz w:val="17"/>
          <w:u w:val="single"/>
        </w:rPr>
        <w:t xml:space="preserve">Commercial Director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p>
      <w:r>
        <w:br w:type="page"/>
      </w:r>
    </w:p>
    <w:p>
      <w:pPr>
        <w:spacing w:before="120" w:after="120" w:line="276" w:lineRule="auto"/>
      </w:pPr>
      <w:r>
        <w:rPr>
          <w:b/>
          <w:i w:val="0"/>
          <w:sz w:val="26"/>
        </w:rPr>
        <w:t>Section 5.  Reference Request Forms</w:t>
      </w:r>
    </w:p>
    <w:p>
      <w:pPr>
        <w:spacing w:before="0" w:after="80" w:line="276" w:lineRule="auto"/>
      </w:pPr>
      <w:r>
        <w:rPr>
          <w:b w:val="0"/>
          <w:i w:val="0"/>
          <w:sz w:val="21"/>
        </w:rPr>
        <w:t>The Credit Department sends the following forms to the references named on the application. They are reproduced here so that the Applicant knows what its references will be asked. The Applicant does not complete these forms.</w:t>
      </w:r>
    </w:p>
    <w:p>
      <w:pPr>
        <w:spacing w:before="160" w:after="60" w:line="276" w:lineRule="auto"/>
      </w:pPr>
      <w:r>
        <w:rPr>
          <w:b/>
          <w:i w:val="0"/>
          <w:sz w:val="21"/>
        </w:rPr>
        <w:t>5.1  Trade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the business giving the reference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Applicant's account number with you</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account opened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Credit limit extended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Highest balance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Current balance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terms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Payment record (prompt / 1–30 days slow / 31–60 days slow / over 60)</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payments or credit holds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title and signature of respondent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Bank reference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Bank and branch</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Account relationship since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accounts held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Average balance range (low / medium / high five, six or seven figures)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Loan facilities and whether performing as agreed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Any returned items in the last 12 months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Officer's name, title and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w:t>
            </w:r>
          </w:p>
        </w:tc>
        <w:tc>
          <w:tcPr>
            <w:tcW w:type="dxa" w:w="5329"/>
          </w:tcPr>
          <w:p>
            <w:pPr>
              <w:spacing w:before="0" w:after="0"/>
            </w:pPr>
            <w:r/>
            <w:r>
              <w:rPr>
                <w:b w:val="0"/>
                <w:i w:val="0"/>
                <w:sz w:val="16"/>
              </w:rPr>
              <w:t xml:space="preserve"> </w:t>
            </w:r>
          </w:p>
        </w:tc>
      </w:tr>
    </w:tbl>
    <w:p>
      <w:pPr>
        <w:spacing w:before="0" w:after="80"/>
      </w:pPr>
    </w:p>
    <w:p>
      <w:pPr>
        <w:spacing w:before="0" w:after="120" w:line="276" w:lineRule="auto"/>
      </w:pPr>
      <w:r>
        <w:rPr>
          <w:b w:val="0"/>
          <w:i/>
          <w:sz w:val="17"/>
        </w:rPr>
        <w:t>The Applicant's authorisation for the release of this information is given in the certification on the application form.</w:t>
      </w:r>
    </w:p>
    <w:p>
      <w:pPr>
        <w:spacing w:before="160" w:after="60" w:line="276" w:lineRule="auto"/>
      </w:pPr>
      <w:r>
        <w:rPr>
          <w:b/>
          <w:i w:val="0"/>
          <w:sz w:val="21"/>
        </w:rPr>
        <w:t>5.3  Guarantee form (blank)</w:t>
      </w:r>
    </w:p>
    <w:p>
      <w:pPr>
        <w:spacing w:before="0" w:after="80" w:line="276" w:lineRule="auto"/>
      </w:pPr>
      <w:r>
        <w:rPr>
          <w:b w:val="0"/>
          <w:i w:val="0"/>
          <w:sz w:val="21"/>
        </w:rPr>
        <w:t>For use only where a guarantee is required under Section 1.4. The guarantor's signature must be witnessed.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guarantor (individual or company)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Address of guarantor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Relationship to the applicant</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the applicant whose obligations are guaranteed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Cap on the guaranteed amount, if any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Guarantor's signature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and address of witness</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Witness 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5.4  Resale certificate summary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361"/>
            <w:vAlign w:val="bottom"/>
            <w:shd w:val="clear" w:color="auto" w:fill="D9D9D9"/>
          </w:tcPr>
          <w:p>
            <w:pPr>
              <w:spacing w:before="0" w:after="0"/>
            </w:pPr>
            <w:r/>
            <w:r>
              <w:rPr>
                <w:b/>
                <w:i w:val="0"/>
                <w:sz w:val="14"/>
              </w:rPr>
              <w:t>State</w:t>
            </w:r>
          </w:p>
        </w:tc>
        <w:tc>
          <w:tcPr>
            <w:tcW w:type="dxa" w:w="4649"/>
            <w:vAlign w:val="bottom"/>
            <w:shd w:val="clear" w:color="auto" w:fill="D9D9D9"/>
          </w:tcPr>
          <w:p>
            <w:pPr>
              <w:spacing w:before="0" w:after="0"/>
            </w:pPr>
            <w:r/>
            <w:r>
              <w:rPr>
                <w:b/>
                <w:i w:val="0"/>
                <w:sz w:val="14"/>
              </w:rPr>
              <w:t>Certificate form</w:t>
            </w:r>
          </w:p>
        </w:tc>
        <w:tc>
          <w:tcPr>
            <w:tcW w:type="dxa" w:w="3402"/>
            <w:vAlign w:val="bottom"/>
            <w:shd w:val="clear" w:color="auto" w:fill="D9D9D9"/>
          </w:tcPr>
          <w:p>
            <w:pPr>
              <w:spacing w:before="0" w:after="0"/>
            </w:pPr>
            <w:r/>
            <w:r>
              <w:rPr>
                <w:b/>
                <w:i w:val="0"/>
                <w:sz w:val="14"/>
              </w:rPr>
              <w:t>Renewal</w:t>
            </w:r>
          </w:p>
        </w:tc>
      </w:tr>
      <w:tr>
        <w:tc>
          <w:tcPr>
            <w:tcW w:type="dxa" w:w="1361"/>
          </w:tcPr>
          <w:p>
            <w:pPr>
              <w:spacing w:before="0" w:after="0"/>
            </w:pPr>
            <w:r/>
            <w:r>
              <w:rPr>
                <w:b w:val="0"/>
                <w:i w:val="0"/>
                <w:sz w:val="16"/>
              </w:rPr>
              <w:t>Texas</w:t>
            </w:r>
          </w:p>
        </w:tc>
        <w:tc>
          <w:tcPr>
            <w:tcW w:type="dxa" w:w="4649"/>
          </w:tcPr>
          <w:p>
            <w:pPr>
              <w:spacing w:before="0" w:after="0"/>
            </w:pPr>
            <w:r/>
            <w:r>
              <w:rPr>
                <w:b w:val="0"/>
                <w:i w:val="0"/>
                <w:sz w:val="16"/>
              </w:rPr>
              <w:t>Form 01-339 (Texas Sales and Use Tax Resale Certificate)</w:t>
            </w:r>
          </w:p>
        </w:tc>
        <w:tc>
          <w:tcPr>
            <w:tcW w:type="dxa" w:w="3402"/>
          </w:tcPr>
          <w:p>
            <w:pPr>
              <w:spacing w:before="0" w:after="0"/>
            </w:pPr>
            <w:r/>
            <w:r>
              <w:rPr>
                <w:b w:val="0"/>
                <w:i w:val="0"/>
                <w:sz w:val="16"/>
              </w:rPr>
              <w:t>No expiry; refreshed on change of business</w:t>
            </w:r>
          </w:p>
        </w:tc>
      </w:tr>
      <w:tr>
        <w:tc>
          <w:tcPr>
            <w:tcW w:type="dxa" w:w="1361"/>
          </w:tcPr>
          <w:p>
            <w:pPr>
              <w:spacing w:before="0" w:after="0"/>
            </w:pPr>
            <w:r/>
            <w:r>
              <w:rPr>
                <w:b w:val="0"/>
                <w:i w:val="0"/>
                <w:sz w:val="16"/>
              </w:rPr>
              <w:t>Oklahoma</w:t>
            </w:r>
          </w:p>
        </w:tc>
        <w:tc>
          <w:tcPr>
            <w:tcW w:type="dxa" w:w="4649"/>
          </w:tcPr>
          <w:p>
            <w:pPr>
              <w:spacing w:before="0" w:after="0"/>
            </w:pPr>
            <w:r/>
            <w:r>
              <w:rPr>
                <w:b w:val="0"/>
                <w:i w:val="0"/>
                <w:sz w:val="16"/>
              </w:rPr>
              <w:t>Sales Tax Permit copy plus resale statement</w:t>
            </w:r>
          </w:p>
        </w:tc>
        <w:tc>
          <w:tcPr>
            <w:tcW w:type="dxa" w:w="3402"/>
          </w:tcPr>
          <w:p>
            <w:pPr>
              <w:spacing w:before="0" w:after="0"/>
            </w:pPr>
            <w:r/>
            <w:r>
              <w:rPr>
                <w:b w:val="0"/>
                <w:i w:val="0"/>
                <w:sz w:val="16"/>
              </w:rPr>
              <w:t>Permit renewed every 3 years</w:t>
            </w:r>
          </w:p>
        </w:tc>
      </w:tr>
      <w:tr>
        <w:tc>
          <w:tcPr>
            <w:tcW w:type="dxa" w:w="1361"/>
          </w:tcPr>
          <w:p>
            <w:pPr>
              <w:spacing w:before="0" w:after="0"/>
            </w:pPr>
            <w:r/>
            <w:r>
              <w:rPr>
                <w:b w:val="0"/>
                <w:i w:val="0"/>
                <w:sz w:val="16"/>
              </w:rPr>
              <w:t>Louisiana</w:t>
            </w:r>
          </w:p>
        </w:tc>
        <w:tc>
          <w:tcPr>
            <w:tcW w:type="dxa" w:w="4649"/>
          </w:tcPr>
          <w:p>
            <w:pPr>
              <w:spacing w:before="0" w:after="0"/>
            </w:pPr>
            <w:r/>
            <w:r>
              <w:rPr>
                <w:b w:val="0"/>
                <w:i w:val="0"/>
                <w:sz w:val="16"/>
              </w:rPr>
              <w:t>Form R-1064 resale certificate</w:t>
            </w:r>
          </w:p>
        </w:tc>
        <w:tc>
          <w:tcPr>
            <w:tcW w:type="dxa" w:w="3402"/>
          </w:tcPr>
          <w:p>
            <w:pPr>
              <w:spacing w:before="0" w:after="0"/>
            </w:pPr>
            <w:r/>
            <w:r>
              <w:rPr>
                <w:b w:val="0"/>
                <w:i w:val="0"/>
                <w:sz w:val="16"/>
              </w:rPr>
              <w:t>Annual</w:t>
            </w:r>
          </w:p>
        </w:tc>
      </w:tr>
      <w:tr>
        <w:tc>
          <w:tcPr>
            <w:tcW w:type="dxa" w:w="1361"/>
          </w:tcPr>
          <w:p>
            <w:pPr>
              <w:spacing w:before="0" w:after="0"/>
            </w:pPr>
            <w:r/>
            <w:r>
              <w:rPr>
                <w:b w:val="0"/>
                <w:i w:val="0"/>
                <w:sz w:val="16"/>
              </w:rPr>
              <w:t>Arkansas</w:t>
            </w:r>
          </w:p>
        </w:tc>
        <w:tc>
          <w:tcPr>
            <w:tcW w:type="dxa" w:w="4649"/>
          </w:tcPr>
          <w:p>
            <w:pPr>
              <w:spacing w:before="0" w:after="0"/>
            </w:pPr>
            <w:r/>
            <w:r>
              <w:rPr>
                <w:b w:val="0"/>
                <w:i w:val="0"/>
                <w:sz w:val="16"/>
              </w:rPr>
              <w:t>Form ST-391 exemption certificate</w:t>
            </w:r>
          </w:p>
        </w:tc>
        <w:tc>
          <w:tcPr>
            <w:tcW w:type="dxa" w:w="3402"/>
          </w:tcPr>
          <w:p>
            <w:pPr>
              <w:spacing w:before="0" w:after="0"/>
            </w:pPr>
            <w:r/>
            <w:r>
              <w:rPr>
                <w:b w:val="0"/>
                <w:i w:val="0"/>
                <w:sz w:val="16"/>
              </w:rPr>
              <w:t>No expiry</w:t>
            </w:r>
          </w:p>
        </w:tc>
      </w:tr>
      <w:tr>
        <w:tc>
          <w:tcPr>
            <w:tcW w:type="dxa" w:w="1361"/>
          </w:tcPr>
          <w:p>
            <w:pPr>
              <w:spacing w:before="0" w:after="0"/>
            </w:pPr>
            <w:r/>
            <w:r>
              <w:rPr>
                <w:b w:val="0"/>
                <w:i w:val="0"/>
                <w:sz w:val="16"/>
              </w:rPr>
              <w:t>New Mexico</w:t>
            </w:r>
          </w:p>
        </w:tc>
        <w:tc>
          <w:tcPr>
            <w:tcW w:type="dxa" w:w="4649"/>
          </w:tcPr>
          <w:p>
            <w:pPr>
              <w:spacing w:before="0" w:after="0"/>
            </w:pPr>
            <w:r/>
            <w:r>
              <w:rPr>
                <w:b w:val="0"/>
                <w:i w:val="0"/>
                <w:sz w:val="16"/>
              </w:rPr>
              <w:t>Nontaxable Transaction Certificate (NTTC) Type 2</w:t>
            </w:r>
          </w:p>
        </w:tc>
        <w:tc>
          <w:tcPr>
            <w:tcW w:type="dxa" w:w="3402"/>
          </w:tcPr>
          <w:p>
            <w:pPr>
              <w:spacing w:before="0" w:after="0"/>
            </w:pPr>
            <w:r/>
            <w:r>
              <w:rPr>
                <w:b w:val="0"/>
                <w:i w:val="0"/>
                <w:sz w:val="16"/>
              </w:rPr>
              <w:t>No expiry; issued per vendor</w:t>
            </w:r>
          </w:p>
        </w:tc>
      </w:tr>
    </w:tbl>
    <w:p>
      <w:pPr>
        <w:spacing w:before="0" w:after="80"/>
      </w:pPr>
    </w:p>
    <w:p>
      <w:r>
        <w:br w:type="page"/>
      </w:r>
    </w:p>
    <w:p>
      <w:pPr>
        <w:spacing w:before="120" w:after="120" w:line="276" w:lineRule="auto"/>
      </w:pPr>
      <w:r>
        <w:rPr>
          <w:b/>
          <w:i w:val="0"/>
          <w:sz w:val="26"/>
        </w:rPr>
        <w:t>Section 6.  Terms and Conditions of Sale</w:t>
      </w:r>
    </w:p>
    <w:p>
      <w:pPr>
        <w:spacing w:before="0" w:after="60" w:line="276" w:lineRule="auto"/>
        <w:ind w:left="454" w:hanging="454"/>
      </w:pPr>
      <w:r>
        <w:rPr>
          <w:b w:val="0"/>
          <w:i w:val="0"/>
          <w:sz w:val="21"/>
        </w:rPr>
        <w:t>1.</w:t>
        <w:tab/>
        <w:t>Application. These terms apply to every quotation, order and delivery of goods and services by the Company to a customer, to the exclusion of any terms the customer seeks to impose. Acceptance of delivery constitutes acceptance of these terms. No variation is effective unless in writing and signed by an officer of the Company.</w:t>
      </w:r>
    </w:p>
    <w:p>
      <w:pPr>
        <w:spacing w:before="0" w:after="60" w:line="276" w:lineRule="auto"/>
        <w:ind w:left="454" w:hanging="454"/>
      </w:pPr>
      <w:r>
        <w:rPr>
          <w:b w:val="0"/>
          <w:i w:val="0"/>
          <w:sz w:val="21"/>
        </w:rPr>
        <w:t>2.</w:t>
        <w:tab/>
        <w:t>Quotations and orders. A quotation is an invitation to order and may be withdrawn at any time before acceptance. An order is accepted when the Company issues an order acknowledgement. The Company may decline any order without giving a reason.</w:t>
      </w:r>
    </w:p>
    <w:p>
      <w:pPr>
        <w:spacing w:before="0" w:after="60" w:line="276" w:lineRule="auto"/>
        <w:ind w:left="454" w:hanging="454"/>
      </w:pPr>
      <w:r>
        <w:rPr>
          <w:b w:val="0"/>
          <w:i w:val="0"/>
          <w:sz w:val="21"/>
        </w:rPr>
        <w:t>3.</w:t>
        <w:tab/>
        <w:t>Prices. Prices are those in the Company's price list in force on the date of acknowledgement, in United States dollars, exclusive of taxes, duties and delivery unless stated. Prices for goods not in stock are subject to the Company's cost at the time of supply.</w:t>
      </w:r>
    </w:p>
    <w:p>
      <w:pPr>
        <w:spacing w:before="0" w:after="60" w:line="276" w:lineRule="auto"/>
        <w:ind w:left="454" w:hanging="454"/>
      </w:pPr>
      <w:r>
        <w:rPr>
          <w:b w:val="0"/>
          <w:i w:val="0"/>
          <w:sz w:val="21"/>
        </w:rPr>
        <w:t>4.</w:t>
        <w:tab/>
        <w:t>Payment. Payment is due in accordance with the terms shown on the invoice or, if none, net thirty days from the invoice date. Time of payment is of the essence. The Company may charge interest on overdue amounts at one and a half percent per month, and may suspend deliveries and withdraw credit while any amount is overdue.</w:t>
      </w:r>
    </w:p>
    <w:p>
      <w:pPr>
        <w:spacing w:before="0" w:after="60" w:line="276" w:lineRule="auto"/>
        <w:ind w:left="454" w:hanging="454"/>
      </w:pPr>
      <w:r>
        <w:rPr>
          <w:b w:val="0"/>
          <w:i w:val="0"/>
          <w:sz w:val="21"/>
        </w:rPr>
        <w:t>5.</w:t>
        <w:tab/>
        <w:t>Delivery. Delivery dates are estimates. The Company is not liable for delay. Delivery is complete when the goods are handed to the carrier at the Company's premises (FOB origin) unless the acknowledgement states otherwise. The customer must inspect the goods on receipt and notify shortage or visible damage within five working days.</w:t>
      </w:r>
    </w:p>
    <w:p>
      <w:pPr>
        <w:spacing w:before="0" w:after="60" w:line="276" w:lineRule="auto"/>
        <w:ind w:left="454" w:hanging="454"/>
      </w:pPr>
      <w:r>
        <w:rPr>
          <w:b w:val="0"/>
          <w:i w:val="0"/>
          <w:sz w:val="21"/>
        </w:rPr>
        <w:t>6.</w:t>
        <w:tab/>
        <w:t>Risk and title. Risk passes on delivery to the carrier. Title passes when the Company has received payment in full for the goods and for all other amounts then due from the customer. Until title passes, the customer holds the goods as bailee, stores them separately, and may not encumber them; the Company may enter the customer's premises to recover them.</w:t>
      </w:r>
    </w:p>
    <w:p>
      <w:pPr>
        <w:spacing w:before="0" w:after="60" w:line="276" w:lineRule="auto"/>
        <w:ind w:left="454" w:hanging="454"/>
      </w:pPr>
      <w:r>
        <w:rPr>
          <w:b w:val="0"/>
          <w:i w:val="0"/>
          <w:sz w:val="21"/>
        </w:rPr>
        <w:t>7.</w:t>
        <w:tab/>
        <w:t>Returns. Goods may be returned only with a return authorisation number issued by the Company within thirty days of delivery, in original packaging and unused condition, and are subject to a restocking charge of fifteen percent. Special-order and cut-to-length goods are not returnable.</w:t>
      </w:r>
    </w:p>
    <w:p>
      <w:pPr>
        <w:spacing w:before="0" w:after="60" w:line="276" w:lineRule="auto"/>
        <w:ind w:left="454" w:hanging="454"/>
      </w:pPr>
      <w:r>
        <w:rPr>
          <w:b w:val="0"/>
          <w:i w:val="0"/>
          <w:sz w:val="21"/>
        </w:rPr>
        <w:t>8.</w:t>
        <w:tab/>
        <w:t>Warranty. The Company warrants that goods it manufactures conform to their published specification for twelve months from delivery. Goods manufactured by others carry the manufacturer's warranty only. The Company's sole obligation under warranty is to repair or replace the goods, or to refund the price, at its option.</w:t>
      </w:r>
    </w:p>
    <w:p>
      <w:pPr>
        <w:spacing w:before="0" w:after="60" w:line="276" w:lineRule="auto"/>
        <w:ind w:left="454" w:hanging="454"/>
      </w:pPr>
      <w:r>
        <w:rPr>
          <w:b w:val="0"/>
          <w:i w:val="0"/>
          <w:sz w:val="21"/>
        </w:rPr>
        <w:t>9.</w:t>
        <w:tab/>
        <w:t>Limitation of liability. The Company's liability in respect of any order, whether in contract, tort or otherwise, is limited to the price of the goods concerned. The Company is not liable for loss of profit, loss of production, or any indirect or consequential loss.</w:t>
      </w:r>
    </w:p>
    <w:p>
      <w:pPr>
        <w:spacing w:before="0" w:after="60" w:line="276" w:lineRule="auto"/>
        <w:ind w:left="454" w:hanging="454"/>
      </w:pPr>
      <w:r>
        <w:rPr>
          <w:b w:val="0"/>
          <w:i w:val="0"/>
          <w:sz w:val="21"/>
        </w:rPr>
        <w:t>10.</w:t>
        <w:tab/>
        <w:t>Cancellation. An order may be cancelled only with the Company's written consent, and the customer must pay for work done and materials committed up to cancellation.</w:t>
      </w:r>
    </w:p>
    <w:p>
      <w:pPr>
        <w:spacing w:before="0" w:after="60" w:line="276" w:lineRule="auto"/>
        <w:ind w:left="454" w:hanging="454"/>
      </w:pPr>
      <w:r>
        <w:rPr>
          <w:b w:val="0"/>
          <w:i w:val="0"/>
          <w:sz w:val="21"/>
        </w:rPr>
        <w:t>11.</w:t>
        <w:tab/>
        <w:t>Force majeure. The Company is not liable for failure to perform caused by events beyond its reasonable control, including supplier failure, transport disruption, labour disputes, and acts of government.</w:t>
      </w:r>
    </w:p>
    <w:p>
      <w:pPr>
        <w:spacing w:before="0" w:after="60" w:line="276" w:lineRule="auto"/>
        <w:ind w:left="454" w:hanging="454"/>
      </w:pPr>
      <w:r>
        <w:rPr>
          <w:b w:val="0"/>
          <w:i w:val="0"/>
          <w:sz w:val="21"/>
        </w:rPr>
        <w:t>12.</w:t>
        <w:tab/>
        <w:t>Compliance. The customer will comply with export control and sanctions laws applicable to the goods and will not re-export them to a prohibited destination or end use.</w:t>
      </w:r>
    </w:p>
    <w:p>
      <w:pPr>
        <w:spacing w:before="0" w:after="60" w:line="276" w:lineRule="auto"/>
        <w:ind w:left="454" w:hanging="454"/>
      </w:pPr>
      <w:r>
        <w:rPr>
          <w:b w:val="0"/>
          <w:i w:val="0"/>
          <w:sz w:val="21"/>
        </w:rPr>
        <w:t>13.</w:t>
        <w:tab/>
        <w:t>Governing law. These terms are governed by the laws of the State of Texas. The courts of Dallas County have exclusive jurisdiction, and the customer submits to that jurisdiction.</w:t>
      </w:r>
    </w:p>
    <w:p>
      <w:pPr>
        <w:spacing w:before="0" w:after="60" w:line="276" w:lineRule="auto"/>
        <w:ind w:left="454" w:hanging="454"/>
      </w:pPr>
      <w:r>
        <w:rPr>
          <w:b w:val="0"/>
          <w:i w:val="0"/>
          <w:sz w:val="21"/>
        </w:rPr>
        <w:t>14.</w:t>
        <w:tab/>
        <w:t>Entire agreement. These terms, the acknowledgement and the invoice constitute the entire agreement for each order.</w:t>
      </w:r>
    </w:p>
    <w:p>
      <w:pPr>
        <w:spacing w:before="160" w:after="60" w:line="276" w:lineRule="auto"/>
      </w:pPr>
      <w:r>
        <w:rPr>
          <w:b/>
          <w:i w:val="0"/>
          <w:sz w:val="21"/>
        </w:rPr>
        <w:t>6A.  Warranty schedule for Company-manufactured goods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Product group</w:t>
            </w:r>
          </w:p>
        </w:tc>
        <w:tc>
          <w:tcPr>
            <w:tcW w:type="dxa" w:w="2608"/>
            <w:vAlign w:val="bottom"/>
            <w:shd w:val="clear" w:color="auto" w:fill="D9D9D9"/>
          </w:tcPr>
          <w:p>
            <w:pPr>
              <w:spacing w:before="0" w:after="0"/>
            </w:pPr>
            <w:r/>
            <w:r>
              <w:rPr>
                <w:b/>
                <w:i w:val="0"/>
                <w:sz w:val="14"/>
              </w:rPr>
              <w:t>Warranty period</w:t>
            </w:r>
          </w:p>
        </w:tc>
        <w:tc>
          <w:tcPr>
            <w:tcW w:type="dxa" w:w="3855"/>
            <w:vAlign w:val="bottom"/>
            <w:shd w:val="clear" w:color="auto" w:fill="D9D9D9"/>
          </w:tcPr>
          <w:p>
            <w:pPr>
              <w:spacing w:before="0" w:after="0"/>
            </w:pPr>
            <w:r/>
            <w:r>
              <w:rPr>
                <w:b/>
                <w:i w:val="0"/>
                <w:sz w:val="14"/>
              </w:rPr>
              <w:t>Excluded</w:t>
            </w:r>
          </w:p>
        </w:tc>
      </w:tr>
      <w:tr>
        <w:tc>
          <w:tcPr>
            <w:tcW w:type="dxa" w:w="2948"/>
          </w:tcPr>
          <w:p>
            <w:pPr>
              <w:spacing w:before="0" w:after="0"/>
            </w:pPr>
            <w:r/>
            <w:r>
              <w:rPr>
                <w:b w:val="0"/>
                <w:i w:val="0"/>
                <w:sz w:val="16"/>
              </w:rPr>
              <w:t>Fabricated brackets and mounts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Corrosion after coating damage; overload</w:t>
            </w:r>
          </w:p>
        </w:tc>
      </w:tr>
      <w:tr>
        <w:tc>
          <w:tcPr>
            <w:tcW w:type="dxa" w:w="2948"/>
          </w:tcPr>
          <w:p>
            <w:pPr>
              <w:spacing w:before="0" w:after="0"/>
            </w:pPr>
            <w:r/>
            <w:r>
              <w:rPr>
                <w:b w:val="0"/>
                <w:i w:val="0"/>
                <w:sz w:val="16"/>
              </w:rPr>
              <w:t>Cut-to-length hose assemblies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Abrasion; use above rated pressure or temperature</w:t>
            </w:r>
          </w:p>
        </w:tc>
      </w:tr>
      <w:tr>
        <w:tc>
          <w:tcPr>
            <w:tcW w:type="dxa" w:w="2948"/>
          </w:tcPr>
          <w:p>
            <w:pPr>
              <w:spacing w:before="0" w:after="0"/>
            </w:pPr>
            <w:r/>
            <w:r>
              <w:rPr>
                <w:b w:val="0"/>
                <w:i w:val="0"/>
                <w:sz w:val="16"/>
              </w:rPr>
              <w:t>Kitted assemblies</w:t>
            </w:r>
          </w:p>
        </w:tc>
        <w:tc>
          <w:tcPr>
            <w:tcW w:type="dxa" w:w="2608"/>
          </w:tcPr>
          <w:p>
            <w:pPr>
              <w:spacing w:before="0" w:after="0"/>
            </w:pPr>
            <w:r/>
            <w:r>
              <w:rPr>
                <w:b w:val="0"/>
                <w:i w:val="0"/>
                <w:sz w:val="16"/>
              </w:rPr>
              <w:t>12 months or the component warranty, whichever is shorter</w:t>
            </w:r>
          </w:p>
        </w:tc>
        <w:tc>
          <w:tcPr>
            <w:tcW w:type="dxa" w:w="3855"/>
          </w:tcPr>
          <w:p>
            <w:pPr>
              <w:spacing w:before="0" w:after="0"/>
            </w:pPr>
            <w:r/>
            <w:r>
              <w:rPr>
                <w:b w:val="0"/>
                <w:i w:val="0"/>
                <w:sz w:val="16"/>
              </w:rPr>
              <w:t>Components supplied by the customer</w:t>
            </w:r>
          </w:p>
        </w:tc>
      </w:tr>
      <w:tr>
        <w:tc>
          <w:tcPr>
            <w:tcW w:type="dxa" w:w="2948"/>
          </w:tcPr>
          <w:p>
            <w:pPr>
              <w:spacing w:before="0" w:after="0"/>
            </w:pPr>
            <w:r/>
            <w:r>
              <w:rPr>
                <w:b w:val="0"/>
                <w:i w:val="0"/>
                <w:sz w:val="16"/>
              </w:rPr>
              <w:t>Calibrated instruments (calibration service)</w:t>
            </w:r>
          </w:p>
        </w:tc>
        <w:tc>
          <w:tcPr>
            <w:tcW w:type="dxa" w:w="2608"/>
          </w:tcPr>
          <w:p>
            <w:pPr>
              <w:spacing w:before="0" w:after="0"/>
            </w:pPr>
            <w:r/>
            <w:r>
              <w:rPr>
                <w:b w:val="0"/>
                <w:i w:val="0"/>
                <w:sz w:val="16"/>
              </w:rPr>
              <w:t>Calibration valid 12 months</w:t>
            </w:r>
          </w:p>
        </w:tc>
        <w:tc>
          <w:tcPr>
            <w:tcW w:type="dxa" w:w="3855"/>
          </w:tcPr>
          <w:p>
            <w:pPr>
              <w:spacing w:before="0" w:after="0"/>
            </w:pPr>
            <w:r/>
            <w:r>
              <w:rPr>
                <w:b w:val="0"/>
                <w:i w:val="0"/>
                <w:sz w:val="16"/>
              </w:rPr>
              <w:t>Drift after mechanical shock; tampering with seals</w:t>
            </w:r>
          </w:p>
        </w:tc>
      </w:tr>
      <w:tr>
        <w:tc>
          <w:tcPr>
            <w:tcW w:type="dxa" w:w="2948"/>
          </w:tcPr>
          <w:p>
            <w:pPr>
              <w:spacing w:before="0" w:after="0"/>
            </w:pPr>
            <w:r/>
            <w:r>
              <w:rPr>
                <w:b w:val="0"/>
                <w:i w:val="0"/>
                <w:sz w:val="16"/>
              </w:rPr>
              <w:t>Rebuilt cylinders and valves</w:t>
            </w:r>
          </w:p>
        </w:tc>
        <w:tc>
          <w:tcPr>
            <w:tcW w:type="dxa" w:w="2608"/>
          </w:tcPr>
          <w:p>
            <w:pPr>
              <w:spacing w:before="0" w:after="0"/>
            </w:pPr>
            <w:r/>
            <w:r>
              <w:rPr>
                <w:b w:val="0"/>
                <w:i w:val="0"/>
                <w:sz w:val="16"/>
              </w:rPr>
              <w:t>6 months</w:t>
            </w:r>
          </w:p>
        </w:tc>
        <w:tc>
          <w:tcPr>
            <w:tcW w:type="dxa" w:w="3855"/>
          </w:tcPr>
          <w:p>
            <w:pPr>
              <w:spacing w:before="0" w:after="0"/>
            </w:pPr>
            <w:r/>
            <w:r>
              <w:rPr>
                <w:b w:val="0"/>
                <w:i w:val="0"/>
                <w:sz w:val="16"/>
              </w:rPr>
              <w:t>Contaminated media; incorrect installation</w:t>
            </w:r>
          </w:p>
        </w:tc>
      </w:tr>
      <w:tr>
        <w:tc>
          <w:tcPr>
            <w:tcW w:type="dxa" w:w="2948"/>
          </w:tcPr>
          <w:p>
            <w:pPr>
              <w:spacing w:before="0" w:after="0"/>
            </w:pPr>
            <w:r/>
            <w:r>
              <w:rPr>
                <w:b w:val="0"/>
                <w:i w:val="0"/>
                <w:sz w:val="16"/>
              </w:rPr>
              <w:t>Custom enclosures</w:t>
            </w:r>
          </w:p>
        </w:tc>
        <w:tc>
          <w:tcPr>
            <w:tcW w:type="dxa" w:w="2608"/>
          </w:tcPr>
          <w:p>
            <w:pPr>
              <w:spacing w:before="0" w:after="0"/>
            </w:pPr>
            <w:r/>
            <w:r>
              <w:rPr>
                <w:b w:val="0"/>
                <w:i w:val="0"/>
                <w:sz w:val="16"/>
              </w:rPr>
              <w:t>12 months</w:t>
            </w:r>
          </w:p>
        </w:tc>
        <w:tc>
          <w:tcPr>
            <w:tcW w:type="dxa" w:w="3855"/>
          </w:tcPr>
          <w:p>
            <w:pPr>
              <w:spacing w:before="0" w:after="0"/>
            </w:pPr>
            <w:r/>
            <w:r>
              <w:rPr>
                <w:b w:val="0"/>
                <w:i w:val="0"/>
                <w:sz w:val="16"/>
              </w:rPr>
              <w:t>Modification by the customer</w:t>
            </w:r>
          </w:p>
        </w:tc>
      </w:tr>
    </w:tbl>
    <w:p>
      <w:pPr>
        <w:spacing w:before="0" w:after="80"/>
      </w:pPr>
    </w:p>
    <w:p>
      <w:pPr>
        <w:spacing w:before="0" w:after="80" w:line="276" w:lineRule="auto"/>
      </w:pPr>
      <w:r>
        <w:rPr>
          <w:b w:val="0"/>
          <w:i w:val="0"/>
          <w:sz w:val="21"/>
        </w:rPr>
        <w:t>Warranty claims are made through customer service with the invoice number and a description of the failure. The Company may require the goods to be returned for inspection at its cost where the claim is upheld and at the customer's cost where it is not.</w:t>
      </w:r>
    </w:p>
    <w:p>
      <w:pPr>
        <w:spacing w:before="160" w:after="60" w:line="276" w:lineRule="auto"/>
      </w:pPr>
      <w:r>
        <w:rPr>
          <w:b/>
          <w:i w:val="0"/>
          <w:sz w:val="21"/>
        </w:rPr>
        <w:t>6B.  Special terms for Partner accounts under a framework agreement</w:t>
      </w:r>
    </w:p>
    <w:p>
      <w:pPr>
        <w:spacing w:before="0" w:after="60" w:line="276" w:lineRule="auto"/>
        <w:ind w:left="454" w:hanging="454"/>
      </w:pPr>
      <w:r>
        <w:rPr>
          <w:b w:val="0"/>
          <w:i w:val="0"/>
          <w:sz w:val="21"/>
        </w:rPr>
        <w:t>1.</w:t>
        <w:tab/>
        <w:t>Scope. A framework agreement sets prices, discounts, lead times and service levels for the products and services it lists, for a period of one to three years. Orders placed under the framework are call-offs and are governed by the framework and, where the framework is silent, by the terms in Section 6.</w:t>
      </w:r>
    </w:p>
    <w:p>
      <w:pPr>
        <w:spacing w:before="0" w:after="60" w:line="276" w:lineRule="auto"/>
        <w:ind w:left="454" w:hanging="454"/>
      </w:pPr>
      <w:r>
        <w:rPr>
          <w:b w:val="0"/>
          <w:i w:val="0"/>
          <w:sz w:val="21"/>
        </w:rPr>
        <w:t>2.</w:t>
        <w:tab/>
        <w:t>Pricing. Framework prices are fixed for the first twelve months and thereafter adjusted annually by a formula stated in the framework, normally the change in the producer price index for the product group with a cap of five percent.</w:t>
      </w:r>
    </w:p>
    <w:p>
      <w:pPr>
        <w:spacing w:before="0" w:after="60" w:line="276" w:lineRule="auto"/>
        <w:ind w:left="454" w:hanging="454"/>
      </w:pPr>
      <w:r>
        <w:rPr>
          <w:b w:val="0"/>
          <w:i w:val="0"/>
          <w:sz w:val="21"/>
        </w:rPr>
        <w:t>3.</w:t>
        <w:tab/>
        <w:t>Volume commitment. Where the Partner commits to a minimum annual volume, the discount is conditional on the commitment; if the volume is not met, the difference between the framework price and the price the actual volume would have earned is invoiced at year end.</w:t>
      </w:r>
    </w:p>
    <w:p>
      <w:pPr>
        <w:spacing w:before="0" w:after="60" w:line="276" w:lineRule="auto"/>
        <w:ind w:left="454" w:hanging="454"/>
      </w:pPr>
      <w:r>
        <w:rPr>
          <w:b w:val="0"/>
          <w:i w:val="0"/>
          <w:sz w:val="21"/>
        </w:rPr>
        <w:t>4.</w:t>
        <w:tab/>
        <w:t>Stocking. The Company holds agreed stock levels of framework products for the Partner's exclusive call-off. Stock held for more than twelve months without call-off may be invoiced to the Partner or released for general sale on thirty days' notice.</w:t>
      </w:r>
    </w:p>
    <w:p>
      <w:pPr>
        <w:spacing w:before="0" w:after="60" w:line="276" w:lineRule="auto"/>
        <w:ind w:left="454" w:hanging="454"/>
      </w:pPr>
      <w:r>
        <w:rPr>
          <w:b w:val="0"/>
          <w:i w:val="0"/>
          <w:sz w:val="21"/>
        </w:rPr>
        <w:t>5.</w:t>
        <w:tab/>
        <w:t>Project pricing. For a specific project, the Partner may request project pricing below framework prices; project pricing applies only to orders identified with the project reference and shipped to the project site.</w:t>
      </w:r>
    </w:p>
    <w:p>
      <w:pPr>
        <w:spacing w:before="0" w:after="60" w:line="276" w:lineRule="auto"/>
        <w:ind w:left="454" w:hanging="454"/>
      </w:pPr>
      <w:r>
        <w:rPr>
          <w:b w:val="0"/>
          <w:i w:val="0"/>
          <w:sz w:val="21"/>
        </w:rPr>
        <w:t>6.</w:t>
        <w:tab/>
        <w:t>Service levels. The framework states the delivery lead time, the on-time delivery target, the fill rate target and the technical support response time. Performance is reported quarterly and reviewed at a joint meeting.</w:t>
      </w:r>
    </w:p>
    <w:p>
      <w:pPr>
        <w:spacing w:before="0" w:after="60" w:line="276" w:lineRule="auto"/>
        <w:ind w:left="454" w:hanging="454"/>
      </w:pPr>
      <w:r>
        <w:rPr>
          <w:b w:val="0"/>
          <w:i w:val="0"/>
          <w:sz w:val="21"/>
        </w:rPr>
        <w:t>7.</w:t>
        <w:tab/>
        <w:t>Termination. Either party may terminate the framework on ninety days' notice; call-offs already accepted are fulfilled. The Company may terminate immediately where the Partner is in breach of the credit terms or of Section 6, clause 12.</w:t>
      </w:r>
    </w:p>
    <w:p>
      <w:r>
        <w:br w:type="page"/>
      </w:r>
    </w:p>
    <w:p>
      <w:pPr>
        <w:spacing w:before="120" w:after="120" w:line="276" w:lineRule="auto"/>
      </w:pPr>
      <w:r>
        <w:rPr>
          <w:b/>
          <w:i w:val="0"/>
          <w:sz w:val="26"/>
        </w:rPr>
        <w:t>Section 7.  Catalogue and Service Summary</w:t>
      </w:r>
    </w:p>
    <w:p>
      <w:pPr>
        <w:spacing w:before="160" w:after="60" w:line="276" w:lineRule="auto"/>
      </w:pPr>
      <w:r>
        <w:rPr>
          <w:b/>
          <w:i w:val="0"/>
          <w:sz w:val="21"/>
        </w:rPr>
        <w:t>7.1  Product families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928"/>
            <w:vAlign w:val="bottom"/>
            <w:shd w:val="clear" w:color="auto" w:fill="D9D9D9"/>
          </w:tcPr>
          <w:p>
            <w:pPr>
              <w:spacing w:before="0" w:after="0"/>
            </w:pPr>
            <w:r/>
            <w:r>
              <w:rPr>
                <w:b/>
                <w:i w:val="0"/>
                <w:sz w:val="14"/>
              </w:rPr>
              <w:t>Family</w:t>
            </w:r>
          </w:p>
        </w:tc>
        <w:tc>
          <w:tcPr>
            <w:tcW w:type="dxa" w:w="4649"/>
            <w:vAlign w:val="bottom"/>
            <w:shd w:val="clear" w:color="auto" w:fill="D9D9D9"/>
          </w:tcPr>
          <w:p>
            <w:pPr>
              <w:spacing w:before="0" w:after="0"/>
            </w:pPr>
            <w:r/>
            <w:r>
              <w:rPr>
                <w:b/>
                <w:i w:val="0"/>
                <w:sz w:val="14"/>
              </w:rPr>
              <w:t>Coverage</w:t>
            </w:r>
          </w:p>
        </w:tc>
        <w:tc>
          <w:tcPr>
            <w:tcW w:type="dxa" w:w="1474"/>
            <w:vAlign w:val="bottom"/>
            <w:shd w:val="clear" w:color="auto" w:fill="D9D9D9"/>
          </w:tcPr>
          <w:p>
            <w:pPr>
              <w:spacing w:before="0" w:after="0"/>
            </w:pPr>
            <w:r/>
            <w:r>
              <w:rPr>
                <w:b/>
                <w:i w:val="0"/>
                <w:sz w:val="14"/>
              </w:rPr>
              <w:t>Lead time (stocked)</w:t>
            </w:r>
          </w:p>
        </w:tc>
        <w:tc>
          <w:tcPr>
            <w:tcW w:type="dxa" w:w="1361"/>
            <w:vAlign w:val="bottom"/>
            <w:shd w:val="clear" w:color="auto" w:fill="D9D9D9"/>
          </w:tcPr>
          <w:p>
            <w:pPr>
              <w:spacing w:before="0" w:after="0"/>
            </w:pPr>
            <w:r/>
            <w:r>
              <w:rPr>
                <w:b/>
                <w:i w:val="0"/>
                <w:sz w:val="14"/>
              </w:rPr>
              <w:t>Minimum order</w:t>
            </w:r>
          </w:p>
        </w:tc>
      </w:tr>
      <w:tr>
        <w:tc>
          <w:tcPr>
            <w:tcW w:type="dxa" w:w="1928"/>
          </w:tcPr>
          <w:p>
            <w:pPr>
              <w:spacing w:before="0" w:after="0"/>
            </w:pPr>
            <w:r/>
            <w:r>
              <w:rPr>
                <w:b w:val="0"/>
                <w:i w:val="0"/>
                <w:sz w:val="16"/>
              </w:rPr>
              <w:t>Fasteners and fixings</w:t>
            </w:r>
          </w:p>
        </w:tc>
        <w:tc>
          <w:tcPr>
            <w:tcW w:type="dxa" w:w="4649"/>
          </w:tcPr>
          <w:p>
            <w:pPr>
              <w:spacing w:before="0" w:after="0"/>
            </w:pPr>
            <w:r/>
            <w:r>
              <w:rPr>
                <w:b w:val="0"/>
                <w:i w:val="0"/>
                <w:sz w:val="16"/>
              </w:rPr>
              <w:t>Metric and imperial bolts, nuts, washers, anchors, rivets; grades 8.8 to 12.9, A2 and A4 stainless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Bearings and power transmission</w:t>
            </w:r>
          </w:p>
        </w:tc>
        <w:tc>
          <w:tcPr>
            <w:tcW w:type="dxa" w:w="4649"/>
          </w:tcPr>
          <w:p>
            <w:pPr>
              <w:spacing w:before="0" w:after="0"/>
            </w:pPr>
            <w:r/>
            <w:r>
              <w:rPr>
                <w:b w:val="0"/>
                <w:i w:val="0"/>
                <w:sz w:val="16"/>
              </w:rPr>
              <w:t>Ball and roller bearings, housings, belts, pulleys, couplings, chain</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Pneumatics</w:t>
            </w:r>
          </w:p>
        </w:tc>
        <w:tc>
          <w:tcPr>
            <w:tcW w:type="dxa" w:w="4649"/>
          </w:tcPr>
          <w:p>
            <w:pPr>
              <w:spacing w:before="0" w:after="0"/>
            </w:pPr>
            <w:r/>
            <w:r>
              <w:rPr>
                <w:b w:val="0"/>
                <w:i w:val="0"/>
                <w:sz w:val="16"/>
              </w:rPr>
              <w:t>Cylinders, valves, FRL units, tubing, fittings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Hydraulics</w:t>
            </w:r>
          </w:p>
        </w:tc>
        <w:tc>
          <w:tcPr>
            <w:tcW w:type="dxa" w:w="4649"/>
          </w:tcPr>
          <w:p>
            <w:pPr>
              <w:spacing w:before="0" w:after="0"/>
            </w:pPr>
            <w:r/>
            <w:r>
              <w:rPr>
                <w:b w:val="0"/>
                <w:i w:val="0"/>
                <w:sz w:val="16"/>
              </w:rPr>
              <w:t>Hose, fittings, filters, pumps, seals</w:t>
            </w:r>
          </w:p>
        </w:tc>
        <w:tc>
          <w:tcPr>
            <w:tcW w:type="dxa" w:w="1474"/>
          </w:tcPr>
          <w:p>
            <w:pPr>
              <w:spacing w:before="0" w:after="0"/>
            </w:pPr>
            <w:r/>
            <w:r>
              <w:rPr>
                <w:b w:val="0"/>
                <w:i w:val="0"/>
                <w:sz w:val="16"/>
              </w:rPr>
              <w:t>1–2 days</w:t>
            </w:r>
          </w:p>
        </w:tc>
        <w:tc>
          <w:tcPr>
            <w:tcW w:type="dxa" w:w="1361"/>
          </w:tcPr>
          <w:p>
            <w:pPr>
              <w:spacing w:before="0" w:after="0"/>
            </w:pPr>
            <w:r/>
            <w:r>
              <w:rPr>
                <w:b w:val="0"/>
                <w:i w:val="0"/>
                <w:sz w:val="16"/>
              </w:rPr>
              <w:t>$100</w:t>
            </w:r>
          </w:p>
        </w:tc>
      </w:tr>
      <w:tr>
        <w:tc>
          <w:tcPr>
            <w:tcW w:type="dxa" w:w="1928"/>
          </w:tcPr>
          <w:p>
            <w:pPr>
              <w:spacing w:before="0" w:after="0"/>
            </w:pPr>
            <w:r/>
            <w:r>
              <w:rPr>
                <w:b w:val="0"/>
                <w:i w:val="0"/>
                <w:sz w:val="16"/>
              </w:rPr>
              <w:t>Electrical and controls</w:t>
            </w:r>
          </w:p>
        </w:tc>
        <w:tc>
          <w:tcPr>
            <w:tcW w:type="dxa" w:w="4649"/>
          </w:tcPr>
          <w:p>
            <w:pPr>
              <w:spacing w:before="0" w:after="0"/>
            </w:pPr>
            <w:r/>
            <w:r>
              <w:rPr>
                <w:b w:val="0"/>
                <w:i w:val="0"/>
                <w:sz w:val="16"/>
              </w:rPr>
              <w:t>Contactors, relays, sensors, cable, enclosures, terminal blocks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Instrumentation</w:t>
            </w:r>
          </w:p>
        </w:tc>
        <w:tc>
          <w:tcPr>
            <w:tcW w:type="dxa" w:w="4649"/>
          </w:tcPr>
          <w:p>
            <w:pPr>
              <w:spacing w:before="0" w:after="0"/>
            </w:pPr>
            <w:r/>
            <w:r>
              <w:rPr>
                <w:b w:val="0"/>
                <w:i w:val="0"/>
                <w:sz w:val="16"/>
              </w:rPr>
              <w:t>Pressure, temperature, flow and level instruments; calibration service</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r>
        <w:tc>
          <w:tcPr>
            <w:tcW w:type="dxa" w:w="1928"/>
          </w:tcPr>
          <w:p>
            <w:pPr>
              <w:spacing w:before="0" w:after="0"/>
            </w:pPr>
            <w:r/>
            <w:r>
              <w:rPr>
                <w:b w:val="0"/>
                <w:i w:val="0"/>
                <w:sz w:val="16"/>
              </w:rPr>
              <w:t>Cutting tools and abrasives</w:t>
            </w:r>
          </w:p>
        </w:tc>
        <w:tc>
          <w:tcPr>
            <w:tcW w:type="dxa" w:w="4649"/>
          </w:tcPr>
          <w:p>
            <w:pPr>
              <w:spacing w:before="0" w:after="0"/>
            </w:pPr>
            <w:r/>
            <w:r>
              <w:rPr>
                <w:b w:val="0"/>
                <w:i w:val="0"/>
                <w:sz w:val="16"/>
              </w:rPr>
              <w:t>Drills, end mills, inserts, grinding and finishing</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Safety and PPE</w:t>
            </w:r>
          </w:p>
        </w:tc>
        <w:tc>
          <w:tcPr>
            <w:tcW w:type="dxa" w:w="4649"/>
          </w:tcPr>
          <w:p>
            <w:pPr>
              <w:spacing w:before="0" w:after="0"/>
            </w:pPr>
            <w:r/>
            <w:r>
              <w:rPr>
                <w:b w:val="0"/>
                <w:i w:val="0"/>
                <w:sz w:val="16"/>
              </w:rPr>
              <w:t>Eye, hand, hearing and fall protection; signage; spill control</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Adhesives, sealants and lubricants</w:t>
            </w:r>
          </w:p>
        </w:tc>
        <w:tc>
          <w:tcPr>
            <w:tcW w:type="dxa" w:w="4649"/>
          </w:tcPr>
          <w:p>
            <w:pPr>
              <w:spacing w:before="0" w:after="0"/>
            </w:pPr>
            <w:r/>
            <w:r>
              <w:rPr>
                <w:b w:val="0"/>
                <w:i w:val="0"/>
                <w:sz w:val="16"/>
              </w:rPr>
              <w:t>Threadlockers, sealants, greases, oils, cleaners</w:t>
            </w:r>
          </w:p>
        </w:tc>
        <w:tc>
          <w:tcPr>
            <w:tcW w:type="dxa" w:w="1474"/>
          </w:tcPr>
          <w:p>
            <w:pPr>
              <w:spacing w:before="0" w:after="0"/>
            </w:pPr>
            <w:r/>
            <w:r>
              <w:rPr>
                <w:b w:val="0"/>
                <w:i w:val="0"/>
                <w:sz w:val="16"/>
              </w:rPr>
              <w:t>Same day</w:t>
            </w:r>
          </w:p>
        </w:tc>
        <w:tc>
          <w:tcPr>
            <w:tcW w:type="dxa" w:w="1361"/>
          </w:tcPr>
          <w:p>
            <w:pPr>
              <w:spacing w:before="0" w:after="0"/>
            </w:pPr>
            <w:r/>
            <w:r>
              <w:rPr>
                <w:b w:val="0"/>
                <w:i w:val="0"/>
                <w:sz w:val="16"/>
              </w:rPr>
              <w:t>$50</w:t>
            </w:r>
          </w:p>
        </w:tc>
      </w:tr>
      <w:tr>
        <w:tc>
          <w:tcPr>
            <w:tcW w:type="dxa" w:w="1928"/>
          </w:tcPr>
          <w:p>
            <w:pPr>
              <w:spacing w:before="0" w:after="0"/>
            </w:pPr>
            <w:r/>
            <w:r>
              <w:rPr>
                <w:b w:val="0"/>
                <w:i w:val="0"/>
                <w:sz w:val="16"/>
              </w:rPr>
              <w:t>Material handling</w:t>
            </w:r>
          </w:p>
        </w:tc>
        <w:tc>
          <w:tcPr>
            <w:tcW w:type="dxa" w:w="4649"/>
          </w:tcPr>
          <w:p>
            <w:pPr>
              <w:spacing w:before="0" w:after="0"/>
            </w:pPr>
            <w:r/>
            <w:r>
              <w:rPr>
                <w:b w:val="0"/>
                <w:i w:val="0"/>
                <w:sz w:val="16"/>
              </w:rPr>
              <w:t>Casters, hoists, slings, storage, packaging</w:t>
            </w:r>
          </w:p>
        </w:tc>
        <w:tc>
          <w:tcPr>
            <w:tcW w:type="dxa" w:w="1474"/>
          </w:tcPr>
          <w:p>
            <w:pPr>
              <w:spacing w:before="0" w:after="0"/>
            </w:pPr>
            <w:r/>
            <w:r>
              <w:rPr>
                <w:b w:val="0"/>
                <w:i w:val="0"/>
                <w:sz w:val="16"/>
              </w:rPr>
              <w:t>2–5 days</w:t>
            </w:r>
          </w:p>
        </w:tc>
        <w:tc>
          <w:tcPr>
            <w:tcW w:type="dxa" w:w="1361"/>
          </w:tcPr>
          <w:p>
            <w:pPr>
              <w:spacing w:before="0" w:after="0"/>
            </w:pPr>
            <w:r/>
            <w:r>
              <w:rPr>
                <w:b w:val="0"/>
                <w:i w:val="0"/>
                <w:sz w:val="16"/>
              </w:rPr>
              <w:t>$150</w:t>
            </w:r>
          </w:p>
        </w:tc>
      </w:tr>
    </w:tbl>
    <w:p>
      <w:pPr>
        <w:spacing w:before="0" w:after="80"/>
      </w:pPr>
    </w:p>
    <w:p>
      <w:pPr>
        <w:spacing w:before="160" w:after="60" w:line="276" w:lineRule="auto"/>
      </w:pPr>
      <w:r>
        <w:rPr>
          <w:b/>
          <w:i w:val="0"/>
          <w:sz w:val="21"/>
        </w:rPr>
        <w:t>7.2  Service levels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154"/>
            <w:vAlign w:val="bottom"/>
            <w:shd w:val="clear" w:color="auto" w:fill="D9D9D9"/>
          </w:tcPr>
          <w:p>
            <w:pPr>
              <w:spacing w:before="0" w:after="0"/>
            </w:pPr>
            <w:r/>
            <w:r>
              <w:rPr>
                <w:b/>
                <w:i w:val="0"/>
                <w:sz w:val="14"/>
              </w:rPr>
              <w:t>Service</w:t>
            </w:r>
          </w:p>
        </w:tc>
        <w:tc>
          <w:tcPr>
            <w:tcW w:type="dxa" w:w="4876"/>
            <w:vAlign w:val="bottom"/>
            <w:shd w:val="clear" w:color="auto" w:fill="D9D9D9"/>
          </w:tcPr>
          <w:p>
            <w:pPr>
              <w:spacing w:before="0" w:after="0"/>
            </w:pPr>
            <w:r/>
            <w:r>
              <w:rPr>
                <w:b/>
                <w:i w:val="0"/>
                <w:sz w:val="14"/>
              </w:rPr>
              <w:t>Description</w:t>
            </w:r>
          </w:p>
        </w:tc>
        <w:tc>
          <w:tcPr>
            <w:tcW w:type="dxa" w:w="2381"/>
            <w:vAlign w:val="bottom"/>
            <w:shd w:val="clear" w:color="auto" w:fill="D9D9D9"/>
          </w:tcPr>
          <w:p>
            <w:pPr>
              <w:spacing w:before="0" w:after="0"/>
            </w:pPr>
            <w:r/>
            <w:r>
              <w:rPr>
                <w:b/>
                <w:i w:val="0"/>
                <w:sz w:val="14"/>
              </w:rPr>
              <w:t>Availability</w:t>
            </w:r>
          </w:p>
        </w:tc>
      </w:tr>
      <w:tr>
        <w:tc>
          <w:tcPr>
            <w:tcW w:type="dxa" w:w="2154"/>
          </w:tcPr>
          <w:p>
            <w:pPr>
              <w:spacing w:before="0" w:after="0"/>
            </w:pPr>
            <w:r/>
            <w:r>
              <w:rPr>
                <w:b w:val="0"/>
                <w:i w:val="0"/>
                <w:sz w:val="16"/>
              </w:rPr>
              <w:t>Standard delivery</w:t>
            </w:r>
          </w:p>
        </w:tc>
        <w:tc>
          <w:tcPr>
            <w:tcW w:type="dxa" w:w="4876"/>
          </w:tcPr>
          <w:p>
            <w:pPr>
              <w:spacing w:before="0" w:after="0"/>
            </w:pPr>
            <w:r/>
            <w:r>
              <w:rPr>
                <w:b w:val="0"/>
                <w:i w:val="0"/>
                <w:sz w:val="16"/>
              </w:rPr>
              <w:t>Ground carrier to the customer's dock</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Next-day delivery</w:t>
            </w:r>
          </w:p>
        </w:tc>
        <w:tc>
          <w:tcPr>
            <w:tcW w:type="dxa" w:w="4876"/>
          </w:tcPr>
          <w:p>
            <w:pPr>
              <w:spacing w:before="0" w:after="0"/>
            </w:pPr>
            <w:r/>
            <w:r>
              <w:rPr>
                <w:b w:val="0"/>
                <w:i w:val="0"/>
                <w:sz w:val="16"/>
              </w:rPr>
              <w:t>Orders accepted by 15:00 ship the same day</w:t>
            </w:r>
          </w:p>
        </w:tc>
        <w:tc>
          <w:tcPr>
            <w:tcW w:type="dxa" w:w="2381"/>
          </w:tcPr>
          <w:p>
            <w:pPr>
              <w:spacing w:before="0" w:after="0"/>
            </w:pPr>
            <w:r/>
            <w:r>
              <w:rPr>
                <w:b w:val="0"/>
                <w:i w:val="0"/>
                <w:sz w:val="16"/>
              </w:rPr>
              <w:t>Customer accounts and above</w:t>
            </w:r>
          </w:p>
        </w:tc>
      </w:tr>
      <w:tr>
        <w:tc>
          <w:tcPr>
            <w:tcW w:type="dxa" w:w="2154"/>
          </w:tcPr>
          <w:p>
            <w:pPr>
              <w:spacing w:before="0" w:after="0"/>
            </w:pPr>
            <w:r/>
            <w:r>
              <w:rPr>
                <w:b w:val="0"/>
                <w:i w:val="0"/>
                <w:sz w:val="16"/>
              </w:rPr>
              <w:t>Scheduled delivery</w:t>
            </w:r>
          </w:p>
        </w:tc>
        <w:tc>
          <w:tcPr>
            <w:tcW w:type="dxa" w:w="4876"/>
          </w:tcPr>
          <w:p>
            <w:pPr>
              <w:spacing w:before="0" w:after="0"/>
            </w:pPr>
            <w:r/>
            <w:r>
              <w:rPr>
                <w:b w:val="0"/>
                <w:i w:val="0"/>
                <w:sz w:val="16"/>
              </w:rPr>
              <w:t>Route delivery on fixed days by the Company's own fleet</w:t>
            </w:r>
          </w:p>
        </w:tc>
        <w:tc>
          <w:tcPr>
            <w:tcW w:type="dxa" w:w="2381"/>
          </w:tcPr>
          <w:p>
            <w:pPr>
              <w:spacing w:before="0" w:after="0"/>
            </w:pPr>
            <w:r/>
            <w:r>
              <w:rPr>
                <w:b w:val="0"/>
                <w:i w:val="0"/>
                <w:sz w:val="16"/>
              </w:rPr>
              <w:t>Zones 1 and 2</w:t>
            </w:r>
          </w:p>
        </w:tc>
      </w:tr>
      <w:tr>
        <w:tc>
          <w:tcPr>
            <w:tcW w:type="dxa" w:w="2154"/>
          </w:tcPr>
          <w:p>
            <w:pPr>
              <w:spacing w:before="0" w:after="0"/>
            </w:pPr>
            <w:r/>
            <w:r>
              <w:rPr>
                <w:b w:val="0"/>
                <w:i w:val="0"/>
                <w:sz w:val="16"/>
              </w:rPr>
              <w:t>Vendor-managed inventory</w:t>
            </w:r>
          </w:p>
        </w:tc>
        <w:tc>
          <w:tcPr>
            <w:tcW w:type="dxa" w:w="4876"/>
          </w:tcPr>
          <w:p>
            <w:pPr>
              <w:spacing w:before="0" w:after="0"/>
            </w:pPr>
            <w:r/>
            <w:r>
              <w:rPr>
                <w:b w:val="0"/>
                <w:i w:val="0"/>
                <w:sz w:val="16"/>
              </w:rPr>
              <w:t>Company staff replenish bins at the customer's site to agreed levels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Kitting</w:t>
            </w:r>
          </w:p>
        </w:tc>
        <w:tc>
          <w:tcPr>
            <w:tcW w:type="dxa" w:w="4876"/>
          </w:tcPr>
          <w:p>
            <w:pPr>
              <w:spacing w:before="0" w:after="0"/>
            </w:pPr>
            <w:r/>
            <w:r>
              <w:rPr>
                <w:b w:val="0"/>
                <w:i w:val="0"/>
                <w:sz w:val="16"/>
              </w:rPr>
              <w:t>Components assembled into kits to the customer's bill of materials</w:t>
            </w:r>
          </w:p>
        </w:tc>
        <w:tc>
          <w:tcPr>
            <w:tcW w:type="dxa" w:w="2381"/>
          </w:tcPr>
          <w:p>
            <w:pPr>
              <w:spacing w:before="0" w:after="0"/>
            </w:pPr>
            <w:r/>
            <w:r>
              <w:rPr>
                <w:b w:val="0"/>
                <w:i w:val="0"/>
                <w:sz w:val="16"/>
              </w:rPr>
              <w:t>Gold tier and above</w:t>
            </w:r>
          </w:p>
        </w:tc>
      </w:tr>
      <w:tr>
        <w:tc>
          <w:tcPr>
            <w:tcW w:type="dxa" w:w="2154"/>
          </w:tcPr>
          <w:p>
            <w:pPr>
              <w:spacing w:before="0" w:after="0"/>
            </w:pPr>
            <w:r/>
            <w:r>
              <w:rPr>
                <w:b w:val="0"/>
                <w:i w:val="0"/>
                <w:sz w:val="16"/>
              </w:rPr>
              <w:t>Calibration</w:t>
            </w:r>
          </w:p>
        </w:tc>
        <w:tc>
          <w:tcPr>
            <w:tcW w:type="dxa" w:w="4876"/>
          </w:tcPr>
          <w:p>
            <w:pPr>
              <w:spacing w:before="0" w:after="0"/>
            </w:pPr>
            <w:r/>
            <w:r>
              <w:rPr>
                <w:b w:val="0"/>
                <w:i w:val="0"/>
                <w:sz w:val="16"/>
              </w:rPr>
              <w:t>Instrument calibration with traceable certificates</w:t>
            </w:r>
          </w:p>
        </w:tc>
        <w:tc>
          <w:tcPr>
            <w:tcW w:type="dxa" w:w="2381"/>
          </w:tcPr>
          <w:p>
            <w:pPr>
              <w:spacing w:before="0" w:after="0"/>
            </w:pPr>
            <w:r/>
            <w:r>
              <w:rPr>
                <w:b w:val="0"/>
                <w:i w:val="0"/>
                <w:sz w:val="16"/>
              </w:rPr>
              <w:t>All accounts</w:t>
            </w:r>
          </w:p>
        </w:tc>
      </w:tr>
      <w:tr>
        <w:tc>
          <w:tcPr>
            <w:tcW w:type="dxa" w:w="2154"/>
          </w:tcPr>
          <w:p>
            <w:pPr>
              <w:spacing w:before="0" w:after="0"/>
            </w:pPr>
            <w:r/>
            <w:r>
              <w:rPr>
                <w:b w:val="0"/>
                <w:i w:val="0"/>
                <w:sz w:val="16"/>
              </w:rPr>
              <w:t>Technical support</w:t>
            </w:r>
          </w:p>
        </w:tc>
        <w:tc>
          <w:tcPr>
            <w:tcW w:type="dxa" w:w="4876"/>
          </w:tcPr>
          <w:p>
            <w:pPr>
              <w:spacing w:before="0" w:after="0"/>
            </w:pPr>
            <w:r/>
            <w:r>
              <w:rPr>
                <w:b w:val="0"/>
                <w:i w:val="0"/>
                <w:sz w:val="16"/>
              </w:rPr>
              <w:t>Application engineers by telephone and site visit</w:t>
            </w:r>
          </w:p>
        </w:tc>
        <w:tc>
          <w:tcPr>
            <w:tcW w:type="dxa" w:w="2381"/>
          </w:tcPr>
          <w:p>
            <w:pPr>
              <w:spacing w:before="0" w:after="0"/>
            </w:pPr>
            <w:r/>
            <w:r>
              <w:rPr>
                <w:b w:val="0"/>
                <w:i w:val="0"/>
                <w:sz w:val="16"/>
              </w:rPr>
              <w:t>All accounts</w:t>
            </w:r>
          </w:p>
        </w:tc>
      </w:tr>
    </w:tbl>
    <w:p>
      <w:pPr>
        <w:spacing w:before="0" w:after="80"/>
      </w:pPr>
    </w:p>
    <w:p>
      <w:pPr>
        <w:spacing w:before="160" w:after="60" w:line="276" w:lineRule="auto"/>
      </w:pPr>
      <w:r>
        <w:rPr>
          <w:b/>
          <w:i w:val="0"/>
          <w:sz w:val="21"/>
        </w:rPr>
        <w:t>7.3  Delivery zones and charges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Zone</w:t>
            </w:r>
          </w:p>
        </w:tc>
        <w:tc>
          <w:tcPr>
            <w:tcW w:type="dxa" w:w="4535"/>
            <w:vAlign w:val="bottom"/>
            <w:shd w:val="clear" w:color="auto" w:fill="D9D9D9"/>
          </w:tcPr>
          <w:p>
            <w:pPr>
              <w:spacing w:before="0" w:after="0"/>
            </w:pPr>
            <w:r/>
            <w:r>
              <w:rPr>
                <w:b/>
                <w:i w:val="0"/>
                <w:sz w:val="14"/>
              </w:rPr>
              <w:t>Area</w:t>
            </w:r>
          </w:p>
        </w:tc>
        <w:tc>
          <w:tcPr>
            <w:tcW w:type="dxa" w:w="2268"/>
            <w:vAlign w:val="bottom"/>
            <w:shd w:val="clear" w:color="auto" w:fill="D9D9D9"/>
          </w:tcPr>
          <w:p>
            <w:pPr>
              <w:spacing w:before="0" w:after="0"/>
            </w:pPr>
            <w:r/>
            <w:r>
              <w:rPr>
                <w:b/>
                <w:i w:val="0"/>
                <w:sz w:val="14"/>
              </w:rPr>
              <w:t>Standard delivery</w:t>
            </w:r>
          </w:p>
        </w:tc>
        <w:tc>
          <w:tcPr>
            <w:tcW w:type="dxa" w:w="1814"/>
            <w:vAlign w:val="bottom"/>
            <w:shd w:val="clear" w:color="auto" w:fill="D9D9D9"/>
          </w:tcPr>
          <w:p>
            <w:pPr>
              <w:spacing w:before="0" w:after="0"/>
            </w:pPr>
            <w:r/>
            <w:r>
              <w:rPr>
                <w:b/>
                <w:i w:val="0"/>
                <w:sz w:val="14"/>
              </w:rPr>
              <w:t>Free delivery threshold</w:t>
            </w:r>
          </w:p>
        </w:tc>
      </w:tr>
      <w:tr>
        <w:tc>
          <w:tcPr>
            <w:tcW w:type="dxa" w:w="794"/>
          </w:tcPr>
          <w:p>
            <w:pPr>
              <w:spacing w:before="0" w:after="0"/>
            </w:pPr>
            <w:r/>
            <w:r>
              <w:rPr>
                <w:b w:val="0"/>
                <w:i w:val="0"/>
                <w:sz w:val="16"/>
              </w:rPr>
              <w:t>1</w:t>
            </w:r>
          </w:p>
        </w:tc>
        <w:tc>
          <w:tcPr>
            <w:tcW w:type="dxa" w:w="4535"/>
          </w:tcPr>
          <w:p>
            <w:pPr>
              <w:spacing w:before="0" w:after="0"/>
            </w:pPr>
            <w:r/>
            <w:r>
              <w:rPr>
                <w:b w:val="0"/>
                <w:i w:val="0"/>
                <w:sz w:val="16"/>
              </w:rPr>
              <w:t>Dallas–Fort Worth metropolitan area</w:t>
            </w:r>
          </w:p>
        </w:tc>
        <w:tc>
          <w:tcPr>
            <w:tcW w:type="dxa" w:w="2268"/>
          </w:tcPr>
          <w:p>
            <w:pPr>
              <w:spacing w:before="0" w:after="0"/>
            </w:pPr>
            <w:r/>
            <w:r>
              <w:rPr>
                <w:b w:val="0"/>
                <w:i w:val="0"/>
                <w:sz w:val="16"/>
              </w:rPr>
              <w:t>$12</w:t>
            </w:r>
          </w:p>
        </w:tc>
        <w:tc>
          <w:tcPr>
            <w:tcW w:type="dxa" w:w="1814"/>
          </w:tcPr>
          <w:p>
            <w:pPr>
              <w:spacing w:before="0" w:after="0"/>
            </w:pPr>
            <w:r/>
            <w:r>
              <w:rPr>
                <w:b w:val="0"/>
                <w:i w:val="0"/>
                <w:sz w:val="16"/>
              </w:rPr>
              <w:t>$250</w:t>
            </w:r>
          </w:p>
        </w:tc>
      </w:tr>
      <w:tr>
        <w:tc>
          <w:tcPr>
            <w:tcW w:type="dxa" w:w="794"/>
          </w:tcPr>
          <w:p>
            <w:pPr>
              <w:spacing w:before="0" w:after="0"/>
            </w:pPr>
            <w:r/>
            <w:r>
              <w:rPr>
                <w:b w:val="0"/>
                <w:i w:val="0"/>
                <w:sz w:val="16"/>
              </w:rPr>
              <w:t>2</w:t>
            </w:r>
          </w:p>
        </w:tc>
        <w:tc>
          <w:tcPr>
            <w:tcW w:type="dxa" w:w="4535"/>
          </w:tcPr>
          <w:p>
            <w:pPr>
              <w:spacing w:before="0" w:after="0"/>
            </w:pPr>
            <w:r/>
            <w:r>
              <w:rPr>
                <w:b w:val="0"/>
                <w:i w:val="0"/>
                <w:sz w:val="16"/>
              </w:rPr>
              <w:t>Austin, San Antonio, Houston, Waco, Tyler</w:t>
            </w:r>
          </w:p>
        </w:tc>
        <w:tc>
          <w:tcPr>
            <w:tcW w:type="dxa" w:w="2268"/>
          </w:tcPr>
          <w:p>
            <w:pPr>
              <w:spacing w:before="0" w:after="0"/>
            </w:pPr>
            <w:r/>
            <w:r>
              <w:rPr>
                <w:b w:val="0"/>
                <w:i w:val="0"/>
                <w:sz w:val="16"/>
              </w:rPr>
              <w:t>$18</w:t>
            </w:r>
          </w:p>
        </w:tc>
        <w:tc>
          <w:tcPr>
            <w:tcW w:type="dxa" w:w="1814"/>
          </w:tcPr>
          <w:p>
            <w:pPr>
              <w:spacing w:before="0" w:after="0"/>
            </w:pPr>
            <w:r/>
            <w:r>
              <w:rPr>
                <w:b w:val="0"/>
                <w:i w:val="0"/>
                <w:sz w:val="16"/>
              </w:rPr>
              <w:t>$400</w:t>
            </w:r>
          </w:p>
        </w:tc>
      </w:tr>
      <w:tr>
        <w:tc>
          <w:tcPr>
            <w:tcW w:type="dxa" w:w="794"/>
          </w:tcPr>
          <w:p>
            <w:pPr>
              <w:spacing w:before="0" w:after="0"/>
            </w:pPr>
            <w:r/>
            <w:r>
              <w:rPr>
                <w:b w:val="0"/>
                <w:i w:val="0"/>
                <w:sz w:val="16"/>
              </w:rPr>
              <w:t>3</w:t>
            </w:r>
          </w:p>
        </w:tc>
        <w:tc>
          <w:tcPr>
            <w:tcW w:type="dxa" w:w="4535"/>
          </w:tcPr>
          <w:p>
            <w:pPr>
              <w:spacing w:before="0" w:after="0"/>
            </w:pPr>
            <w:r/>
            <w:r>
              <w:rPr>
                <w:b w:val="0"/>
                <w:i w:val="0"/>
                <w:sz w:val="16"/>
              </w:rPr>
              <w:t>Rest of Texas, Oklahoma, Louisiana, Arkansas, New Mexico</w:t>
            </w:r>
          </w:p>
        </w:tc>
        <w:tc>
          <w:tcPr>
            <w:tcW w:type="dxa" w:w="2268"/>
          </w:tcPr>
          <w:p>
            <w:pPr>
              <w:spacing w:before="0" w:after="0"/>
            </w:pPr>
            <w:r/>
            <w:r>
              <w:rPr>
                <w:b w:val="0"/>
                <w:i w:val="0"/>
                <w:sz w:val="16"/>
              </w:rPr>
              <w:t>$28</w:t>
            </w:r>
          </w:p>
        </w:tc>
        <w:tc>
          <w:tcPr>
            <w:tcW w:type="dxa" w:w="1814"/>
          </w:tcPr>
          <w:p>
            <w:pPr>
              <w:spacing w:before="0" w:after="0"/>
            </w:pPr>
            <w:r/>
            <w:r>
              <w:rPr>
                <w:b w:val="0"/>
                <w:i w:val="0"/>
                <w:sz w:val="16"/>
              </w:rPr>
              <w:t>$600</w:t>
            </w:r>
          </w:p>
        </w:tc>
      </w:tr>
      <w:tr>
        <w:tc>
          <w:tcPr>
            <w:tcW w:type="dxa" w:w="794"/>
          </w:tcPr>
          <w:p>
            <w:pPr>
              <w:spacing w:before="0" w:after="0"/>
            </w:pPr>
            <w:r/>
            <w:r>
              <w:rPr>
                <w:b w:val="0"/>
                <w:i w:val="0"/>
                <w:sz w:val="16"/>
              </w:rPr>
              <w:t>4</w:t>
            </w:r>
          </w:p>
        </w:tc>
        <w:tc>
          <w:tcPr>
            <w:tcW w:type="dxa" w:w="4535"/>
          </w:tcPr>
          <w:p>
            <w:pPr>
              <w:spacing w:before="0" w:after="0"/>
            </w:pPr>
            <w:r/>
            <w:r>
              <w:rPr>
                <w:b w:val="0"/>
                <w:i w:val="0"/>
                <w:sz w:val="16"/>
              </w:rPr>
              <w:t>Continental United States</w:t>
            </w:r>
          </w:p>
        </w:tc>
        <w:tc>
          <w:tcPr>
            <w:tcW w:type="dxa" w:w="2268"/>
          </w:tcPr>
          <w:p>
            <w:pPr>
              <w:spacing w:before="0" w:after="0"/>
            </w:pPr>
            <w:r/>
            <w:r>
              <w:rPr>
                <w:b w:val="0"/>
                <w:i w:val="0"/>
                <w:sz w:val="16"/>
              </w:rPr>
              <w:t>Carrier rate</w:t>
            </w:r>
          </w:p>
        </w:tc>
        <w:tc>
          <w:tcPr>
            <w:tcW w:type="dxa" w:w="1814"/>
          </w:tcPr>
          <w:p>
            <w:pPr>
              <w:spacing w:before="0" w:after="0"/>
            </w:pPr>
            <w:r/>
            <w:r>
              <w:rPr>
                <w:b w:val="0"/>
                <w:i w:val="0"/>
                <w:sz w:val="16"/>
              </w:rPr>
              <w:t>$1,000</w:t>
            </w:r>
          </w:p>
        </w:tc>
      </w:tr>
      <w:tr>
        <w:tc>
          <w:tcPr>
            <w:tcW w:type="dxa" w:w="794"/>
          </w:tcPr>
          <w:p>
            <w:pPr>
              <w:spacing w:before="0" w:after="0"/>
            </w:pPr>
            <w:r/>
            <w:r>
              <w:rPr>
                <w:b w:val="0"/>
                <w:i w:val="0"/>
                <w:sz w:val="16"/>
              </w:rPr>
              <w:t>5</w:t>
            </w:r>
          </w:p>
        </w:tc>
        <w:tc>
          <w:tcPr>
            <w:tcW w:type="dxa" w:w="4535"/>
          </w:tcPr>
          <w:p>
            <w:pPr>
              <w:spacing w:before="0" w:after="0"/>
            </w:pPr>
            <w:r/>
            <w:r>
              <w:rPr>
                <w:b w:val="0"/>
                <w:i w:val="0"/>
                <w:sz w:val="16"/>
              </w:rPr>
              <w:t>Alaska, Hawaii, Canada, Mexico</w:t>
            </w:r>
          </w:p>
        </w:tc>
        <w:tc>
          <w:tcPr>
            <w:tcW w:type="dxa" w:w="2268"/>
          </w:tcPr>
          <w:p>
            <w:pPr>
              <w:spacing w:before="0" w:after="0"/>
            </w:pPr>
            <w:r/>
            <w:r>
              <w:rPr>
                <w:b w:val="0"/>
                <w:i w:val="0"/>
                <w:sz w:val="16"/>
              </w:rPr>
              <w:t>Carrier rate plus documentation</w:t>
            </w:r>
          </w:p>
        </w:tc>
        <w:tc>
          <w:tcPr>
            <w:tcW w:type="dxa" w:w="1814"/>
          </w:tcPr>
          <w:p>
            <w:pPr>
              <w:spacing w:before="0" w:after="0"/>
            </w:pPr>
            <w:r/>
            <w:r>
              <w:rPr>
                <w:b w:val="0"/>
                <w:i w:val="0"/>
                <w:sz w:val="16"/>
              </w:rPr>
              <w:t>None</w:t>
            </w:r>
          </w:p>
        </w:tc>
      </w:tr>
    </w:tbl>
    <w:p>
      <w:pPr>
        <w:spacing w:before="0" w:after="80"/>
      </w:pPr>
    </w:p>
    <w:p>
      <w:pPr>
        <w:spacing w:before="160" w:after="60" w:line="276" w:lineRule="auto"/>
      </w:pPr>
      <w:r>
        <w:rPr>
          <w:b/>
          <w:i w:val="0"/>
          <w:sz w:val="21"/>
        </w:rPr>
        <w:t>7.4  Branch locations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268"/>
            <w:vAlign w:val="bottom"/>
            <w:shd w:val="clear" w:color="auto" w:fill="D9D9D9"/>
          </w:tcPr>
          <w:p>
            <w:pPr>
              <w:spacing w:before="0" w:after="0"/>
            </w:pPr>
            <w:r/>
            <w:r>
              <w:rPr>
                <w:b/>
                <w:i w:val="0"/>
                <w:sz w:val="14"/>
              </w:rPr>
              <w:t>Branch</w:t>
            </w:r>
          </w:p>
        </w:tc>
        <w:tc>
          <w:tcPr>
            <w:tcW w:type="dxa" w:w="3742"/>
            <w:vAlign w:val="bottom"/>
            <w:shd w:val="clear" w:color="auto" w:fill="D9D9D9"/>
          </w:tcPr>
          <w:p>
            <w:pPr>
              <w:spacing w:before="0" w:after="0"/>
            </w:pPr>
            <w:r/>
            <w:r>
              <w:rPr>
                <w:b/>
                <w:i w:val="0"/>
                <w:sz w:val="14"/>
              </w:rPr>
              <w:t>Address</w:t>
            </w:r>
          </w:p>
        </w:tc>
        <w:tc>
          <w:tcPr>
            <w:tcW w:type="dxa" w:w="1928"/>
            <w:vAlign w:val="bottom"/>
            <w:shd w:val="clear" w:color="auto" w:fill="D9D9D9"/>
          </w:tcPr>
          <w:p>
            <w:pPr>
              <w:spacing w:before="0" w:after="0"/>
            </w:pPr>
            <w:r/>
            <w:r>
              <w:rPr>
                <w:b/>
                <w:i w:val="0"/>
                <w:sz w:val="14"/>
              </w:rPr>
              <w:t>Counter hours</w:t>
            </w:r>
          </w:p>
        </w:tc>
        <w:tc>
          <w:tcPr>
            <w:tcW w:type="dxa" w:w="1474"/>
            <w:vAlign w:val="bottom"/>
            <w:shd w:val="clear" w:color="auto" w:fill="D9D9D9"/>
          </w:tcPr>
          <w:p>
            <w:pPr>
              <w:spacing w:before="0" w:after="0"/>
            </w:pPr>
            <w:r/>
            <w:r>
              <w:rPr>
                <w:b/>
                <w:i w:val="0"/>
                <w:sz w:val="14"/>
              </w:rPr>
              <w:t>Telephone</w:t>
            </w:r>
          </w:p>
        </w:tc>
      </w:tr>
      <w:tr>
        <w:tc>
          <w:tcPr>
            <w:tcW w:type="dxa" w:w="2268"/>
          </w:tcPr>
          <w:p>
            <w:pPr>
              <w:spacing w:before="0" w:after="0"/>
            </w:pPr>
            <w:r/>
            <w:r>
              <w:rPr>
                <w:b w:val="0"/>
                <w:i w:val="0"/>
                <w:sz w:val="16"/>
              </w:rPr>
              <w:t>Dallas (head office and main warehouse)</w:t>
            </w:r>
          </w:p>
        </w:tc>
        <w:tc>
          <w:tcPr>
            <w:tcW w:type="dxa" w:w="3742"/>
          </w:tcPr>
          <w:p>
            <w:pPr>
              <w:spacing w:before="0" w:after="0"/>
            </w:pPr>
            <w:r/>
            <w:r>
              <w:rPr>
                <w:b w:val="0"/>
                <w:i w:val="0"/>
                <w:sz w:val="16"/>
              </w:rPr>
              <w:t>5400 Commerce Center Boulevard, Dallas, TX 75207</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480-2100</w:t>
            </w:r>
          </w:p>
        </w:tc>
      </w:tr>
      <w:tr>
        <w:tc>
          <w:tcPr>
            <w:tcW w:type="dxa" w:w="2268"/>
          </w:tcPr>
          <w:p>
            <w:pPr>
              <w:spacing w:before="0" w:after="0"/>
            </w:pPr>
            <w:r/>
            <w:r>
              <w:rPr>
                <w:b w:val="0"/>
                <w:i w:val="0"/>
                <w:sz w:val="16"/>
              </w:rPr>
              <w:t>Fort Worth</w:t>
            </w:r>
          </w:p>
        </w:tc>
        <w:tc>
          <w:tcPr>
            <w:tcW w:type="dxa" w:w="3742"/>
          </w:tcPr>
          <w:p>
            <w:pPr>
              <w:spacing w:before="0" w:after="0"/>
            </w:pPr>
            <w:r/>
            <w:r>
              <w:rPr>
                <w:b w:val="0"/>
                <w:i w:val="0"/>
                <w:sz w:val="16"/>
              </w:rPr>
              <w:t>2210 Northside Industrial Drive, Fort Worth, TX 76106</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480-2200</w:t>
            </w:r>
          </w:p>
        </w:tc>
      </w:tr>
      <w:tr>
        <w:tc>
          <w:tcPr>
            <w:tcW w:type="dxa" w:w="2268"/>
          </w:tcPr>
          <w:p>
            <w:pPr>
              <w:spacing w:before="0" w:after="0"/>
            </w:pPr>
            <w:r/>
            <w:r>
              <w:rPr>
                <w:b w:val="0"/>
                <w:i w:val="0"/>
                <w:sz w:val="16"/>
              </w:rPr>
              <w:t>Austin</w:t>
            </w:r>
          </w:p>
        </w:tc>
        <w:tc>
          <w:tcPr>
            <w:tcW w:type="dxa" w:w="3742"/>
          </w:tcPr>
          <w:p>
            <w:pPr>
              <w:spacing w:before="0" w:after="0"/>
            </w:pPr>
            <w:r/>
            <w:r>
              <w:rPr>
                <w:b w:val="0"/>
                <w:i w:val="0"/>
                <w:sz w:val="16"/>
              </w:rPr>
              <w:t>8900 Cameron Road, Suite 100, Austin, TX 78754</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480-2300</w:t>
            </w:r>
          </w:p>
        </w:tc>
      </w:tr>
      <w:tr>
        <w:tc>
          <w:tcPr>
            <w:tcW w:type="dxa" w:w="2268"/>
          </w:tcPr>
          <w:p>
            <w:pPr>
              <w:spacing w:before="0" w:after="0"/>
            </w:pPr>
            <w:r/>
            <w:r>
              <w:rPr>
                <w:b w:val="0"/>
                <w:i w:val="0"/>
                <w:sz w:val="16"/>
              </w:rPr>
              <w:t>Houston</w:t>
            </w:r>
          </w:p>
        </w:tc>
        <w:tc>
          <w:tcPr>
            <w:tcW w:type="dxa" w:w="3742"/>
          </w:tcPr>
          <w:p>
            <w:pPr>
              <w:spacing w:before="0" w:after="0"/>
            </w:pPr>
            <w:r/>
            <w:r>
              <w:rPr>
                <w:b w:val="0"/>
                <w:i w:val="0"/>
                <w:sz w:val="16"/>
              </w:rPr>
              <w:t>14450 West Hardy Road, Houston, TX 77060</w:t>
            </w:r>
          </w:p>
        </w:tc>
        <w:tc>
          <w:tcPr>
            <w:tcW w:type="dxa" w:w="1928"/>
          </w:tcPr>
          <w:p>
            <w:pPr>
              <w:spacing w:before="0" w:after="0"/>
            </w:pPr>
            <w:r/>
            <w:r>
              <w:rPr>
                <w:b w:val="0"/>
                <w:i w:val="0"/>
                <w:sz w:val="16"/>
              </w:rPr>
              <w:t>Mon–Fri 7:00–18:00, Sat 8:00–12:00</w:t>
            </w:r>
          </w:p>
        </w:tc>
        <w:tc>
          <w:tcPr>
            <w:tcW w:type="dxa" w:w="1474"/>
          </w:tcPr>
          <w:p>
            <w:pPr>
              <w:spacing w:before="0" w:after="0"/>
            </w:pPr>
            <w:r/>
            <w:r>
              <w:rPr>
                <w:b w:val="0"/>
                <w:i w:val="0"/>
                <w:sz w:val="16"/>
              </w:rPr>
              <w:t>(555) 480-2400</w:t>
            </w:r>
          </w:p>
        </w:tc>
      </w:tr>
      <w:tr>
        <w:tc>
          <w:tcPr>
            <w:tcW w:type="dxa" w:w="2268"/>
          </w:tcPr>
          <w:p>
            <w:pPr>
              <w:spacing w:before="0" w:after="0"/>
            </w:pPr>
            <w:r/>
            <w:r>
              <w:rPr>
                <w:b w:val="0"/>
                <w:i w:val="0"/>
                <w:sz w:val="16"/>
              </w:rPr>
              <w:t>San Antonio</w:t>
            </w:r>
          </w:p>
        </w:tc>
        <w:tc>
          <w:tcPr>
            <w:tcW w:type="dxa" w:w="3742"/>
          </w:tcPr>
          <w:p>
            <w:pPr>
              <w:spacing w:before="0" w:after="0"/>
            </w:pPr>
            <w:r/>
            <w:r>
              <w:rPr>
                <w:b w:val="0"/>
                <w:i w:val="0"/>
                <w:sz w:val="16"/>
              </w:rPr>
              <w:t>6200 Interstate 35 North, San Antonio, TX 78218</w:t>
            </w:r>
          </w:p>
        </w:tc>
        <w:tc>
          <w:tcPr>
            <w:tcW w:type="dxa" w:w="1928"/>
          </w:tcPr>
          <w:p>
            <w:pPr>
              <w:spacing w:before="0" w:after="0"/>
            </w:pPr>
            <w:r/>
            <w:r>
              <w:rPr>
                <w:b w:val="0"/>
                <w:i w:val="0"/>
                <w:sz w:val="16"/>
              </w:rPr>
              <w:t>Mon–Fri 7:00–17:30</w:t>
            </w:r>
          </w:p>
        </w:tc>
        <w:tc>
          <w:tcPr>
            <w:tcW w:type="dxa" w:w="1474"/>
          </w:tcPr>
          <w:p>
            <w:pPr>
              <w:spacing w:before="0" w:after="0"/>
            </w:pPr>
            <w:r/>
            <w:r>
              <w:rPr>
                <w:b w:val="0"/>
                <w:i w:val="0"/>
                <w:sz w:val="16"/>
              </w:rPr>
              <w:t>(555) 480-2500</w:t>
            </w:r>
          </w:p>
        </w:tc>
      </w:tr>
      <w:tr>
        <w:tc>
          <w:tcPr>
            <w:tcW w:type="dxa" w:w="2268"/>
          </w:tcPr>
          <w:p>
            <w:pPr>
              <w:spacing w:before="0" w:after="0"/>
            </w:pPr>
            <w:r/>
            <w:r>
              <w:rPr>
                <w:b w:val="0"/>
                <w:i w:val="0"/>
                <w:sz w:val="16"/>
              </w:rPr>
              <w:t>Oklahoma City</w:t>
            </w:r>
          </w:p>
        </w:tc>
        <w:tc>
          <w:tcPr>
            <w:tcW w:type="dxa" w:w="3742"/>
          </w:tcPr>
          <w:p>
            <w:pPr>
              <w:spacing w:before="0" w:after="0"/>
            </w:pPr>
            <w:r/>
            <w:r>
              <w:rPr>
                <w:b w:val="0"/>
                <w:i w:val="0"/>
                <w:sz w:val="16"/>
              </w:rPr>
              <w:t>3300 South Meridian Avenue, Oklahoma City, OK 73119</w:t>
            </w:r>
          </w:p>
        </w:tc>
        <w:tc>
          <w:tcPr>
            <w:tcW w:type="dxa" w:w="1928"/>
          </w:tcPr>
          <w:p>
            <w:pPr>
              <w:spacing w:before="0" w:after="0"/>
            </w:pPr>
            <w:r/>
            <w:r>
              <w:rPr>
                <w:b w:val="0"/>
                <w:i w:val="0"/>
                <w:sz w:val="16"/>
              </w:rPr>
              <w:t>Mon–Fri 7:30–17:00</w:t>
            </w:r>
          </w:p>
        </w:tc>
        <w:tc>
          <w:tcPr>
            <w:tcW w:type="dxa" w:w="1474"/>
          </w:tcPr>
          <w:p>
            <w:pPr>
              <w:spacing w:before="0" w:after="0"/>
            </w:pPr>
            <w:r/>
            <w:r>
              <w:rPr>
                <w:b w:val="0"/>
                <w:i w:val="0"/>
                <w:sz w:val="16"/>
              </w:rPr>
              <w:t>(555) 480-2600</w:t>
            </w:r>
          </w:p>
        </w:tc>
      </w:tr>
    </w:tbl>
    <w:p>
      <w:pPr>
        <w:spacing w:before="0" w:after="80"/>
      </w:pPr>
    </w:p>
    <w:p>
      <w:pPr>
        <w:spacing w:before="160" w:after="60" w:line="276" w:lineRule="auto"/>
      </w:pPr>
      <w:r>
        <w:rPr>
          <w:b/>
          <w:i w:val="0"/>
          <w:sz w:val="21"/>
        </w:rPr>
        <w:t>7.5  Technical services</w:t>
      </w:r>
    </w:p>
    <w:p>
      <w:pPr>
        <w:spacing w:before="0" w:after="80" w:line="276" w:lineRule="auto"/>
      </w:pPr>
      <w:r>
        <w:rPr>
          <w:b w:val="0"/>
          <w:i w:val="0"/>
          <w:sz w:val="21"/>
        </w:rPr>
        <w:t>The Company's application engineers assist customers with product selection, cross-referencing of competitor part numbers, sizing of pneumatic and hydraulic components, and specification of instrumentation. Site visits are available within Zones 1 to 3 at no charge for Customer accounts and above; outside those zones, travel is charged at cost. Engineering drawings supplied by the customer are treated as confidential and are used only for the purpose of the enquiry.</w:t>
      </w:r>
    </w:p>
    <w:p>
      <w:pPr>
        <w:spacing w:before="160" w:after="60" w:line="276" w:lineRule="auto"/>
      </w:pPr>
      <w:r>
        <w:rPr>
          <w:b/>
          <w:i w:val="0"/>
          <w:sz w:val="21"/>
        </w:rPr>
        <w:t>7.6  Instrument calibration service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Instrument type</w:t>
            </w:r>
          </w:p>
        </w:tc>
        <w:tc>
          <w:tcPr>
            <w:tcW w:type="dxa" w:w="1814"/>
            <w:vAlign w:val="bottom"/>
            <w:shd w:val="clear" w:color="auto" w:fill="D9D9D9"/>
          </w:tcPr>
          <w:p>
            <w:pPr>
              <w:spacing w:before="0" w:after="0"/>
            </w:pPr>
            <w:r/>
            <w:r>
              <w:rPr>
                <w:b/>
                <w:i w:val="0"/>
                <w:sz w:val="14"/>
              </w:rPr>
              <w:t>Standard turnaround</w:t>
            </w:r>
          </w:p>
        </w:tc>
        <w:tc>
          <w:tcPr>
            <w:tcW w:type="dxa" w:w="1814"/>
            <w:vAlign w:val="bottom"/>
            <w:shd w:val="clear" w:color="auto" w:fill="D9D9D9"/>
          </w:tcPr>
          <w:p>
            <w:pPr>
              <w:spacing w:before="0" w:after="0"/>
            </w:pPr>
            <w:r/>
            <w:r>
              <w:rPr>
                <w:b/>
                <w:i w:val="0"/>
                <w:sz w:val="14"/>
              </w:rPr>
              <w:t>Certificate</w:t>
            </w:r>
          </w:p>
        </w:tc>
        <w:tc>
          <w:tcPr>
            <w:tcW w:type="dxa" w:w="2948"/>
            <w:vAlign w:val="bottom"/>
            <w:shd w:val="clear" w:color="auto" w:fill="D9D9D9"/>
          </w:tcPr>
          <w:p>
            <w:pPr>
              <w:spacing w:before="0" w:after="0"/>
            </w:pPr>
            <w:r/>
            <w:r>
              <w:rPr>
                <w:b/>
                <w:i w:val="0"/>
                <w:sz w:val="14"/>
              </w:rPr>
              <w:t>Accreditation</w:t>
            </w:r>
          </w:p>
        </w:tc>
      </w:tr>
      <w:tr>
        <w:tc>
          <w:tcPr>
            <w:tcW w:type="dxa" w:w="2835"/>
          </w:tcPr>
          <w:p>
            <w:pPr>
              <w:spacing w:before="0" w:after="0"/>
            </w:pPr>
            <w:r/>
            <w:r>
              <w:rPr>
                <w:b w:val="0"/>
                <w:i w:val="0"/>
                <w:sz w:val="16"/>
              </w:rPr>
              <w:t>Pressure gauges and transmitters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(pressure, 0 – 10,000 psi)</w:t>
            </w:r>
          </w:p>
        </w:tc>
      </w:tr>
      <w:tr>
        <w:tc>
          <w:tcPr>
            <w:tcW w:type="dxa" w:w="2835"/>
          </w:tcPr>
          <w:p>
            <w:pPr>
              <w:spacing w:before="0" w:after="0"/>
            </w:pPr>
            <w:r/>
            <w:r>
              <w:rPr>
                <w:b w:val="0"/>
                <w:i w:val="0"/>
                <w:sz w:val="16"/>
              </w:rPr>
              <w:t>Temperature sensors and indicators</w:t>
            </w:r>
          </w:p>
        </w:tc>
        <w:tc>
          <w:tcPr>
            <w:tcW w:type="dxa" w:w="1814"/>
          </w:tcPr>
          <w:p>
            <w:pPr>
              <w:spacing w:before="0" w:after="0"/>
            </w:pPr>
            <w:r/>
            <w:r>
              <w:rPr>
                <w:b w:val="0"/>
                <w:i w:val="0"/>
                <w:sz w:val="16"/>
              </w:rPr>
              <w:t>3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 (−40 – 650 °C)</w:t>
            </w:r>
          </w:p>
        </w:tc>
      </w:tr>
      <w:tr>
        <w:tc>
          <w:tcPr>
            <w:tcW w:type="dxa" w:w="2835"/>
          </w:tcPr>
          <w:p>
            <w:pPr>
              <w:spacing w:before="0" w:after="0"/>
            </w:pPr>
            <w:r/>
            <w:r>
              <w:rPr>
                <w:b w:val="0"/>
                <w:i w:val="0"/>
                <w:sz w:val="16"/>
              </w:rPr>
              <w:t>Flow meters (liquid)</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r>
        <w:tc>
          <w:tcPr>
            <w:tcW w:type="dxa" w:w="2835"/>
          </w:tcPr>
          <w:p>
            <w:pPr>
              <w:spacing w:before="0" w:after="0"/>
            </w:pPr>
            <w:r/>
            <w:r>
              <w:rPr>
                <w:b w:val="0"/>
                <w:i w:val="0"/>
                <w:sz w:val="16"/>
              </w:rPr>
              <w:t>Torque wrenches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Dimensional (calipers, micrometers, gauge blocks)</w:t>
            </w:r>
          </w:p>
        </w:tc>
        <w:tc>
          <w:tcPr>
            <w:tcW w:type="dxa" w:w="1814"/>
          </w:tcPr>
          <w:p>
            <w:pPr>
              <w:spacing w:before="0" w:after="0"/>
            </w:pPr>
            <w:r/>
            <w:r>
              <w:rPr>
                <w:b w:val="0"/>
                <w:i w:val="0"/>
                <w:sz w:val="16"/>
              </w:rPr>
              <w:t>2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ISO/IEC 17025</w:t>
            </w:r>
          </w:p>
        </w:tc>
      </w:tr>
      <w:tr>
        <w:tc>
          <w:tcPr>
            <w:tcW w:type="dxa" w:w="2835"/>
          </w:tcPr>
          <w:p>
            <w:pPr>
              <w:spacing w:before="0" w:after="0"/>
            </w:pPr>
            <w:r/>
            <w:r>
              <w:rPr>
                <w:b w:val="0"/>
                <w:i w:val="0"/>
                <w:sz w:val="16"/>
              </w:rPr>
              <w:t>Electrical test equipment</w:t>
            </w:r>
          </w:p>
        </w:tc>
        <w:tc>
          <w:tcPr>
            <w:tcW w:type="dxa" w:w="1814"/>
          </w:tcPr>
          <w:p>
            <w:pPr>
              <w:spacing w:before="0" w:after="0"/>
            </w:pPr>
            <w:r/>
            <w:r>
              <w:rPr>
                <w:b w:val="0"/>
                <w:i w:val="0"/>
                <w:sz w:val="16"/>
              </w:rPr>
              <w:t>5 working days</w:t>
            </w:r>
          </w:p>
        </w:tc>
        <w:tc>
          <w:tcPr>
            <w:tcW w:type="dxa" w:w="1814"/>
          </w:tcPr>
          <w:p>
            <w:pPr>
              <w:spacing w:before="0" w:after="0"/>
            </w:pPr>
            <w:r/>
            <w:r>
              <w:rPr>
                <w:b w:val="0"/>
                <w:i w:val="0"/>
                <w:sz w:val="16"/>
              </w:rPr>
              <w:t>Traceable to NIST</w:t>
            </w:r>
          </w:p>
        </w:tc>
        <w:tc>
          <w:tcPr>
            <w:tcW w:type="dxa" w:w="2948"/>
          </w:tcPr>
          <w:p>
            <w:pPr>
              <w:spacing w:before="0" w:after="0"/>
            </w:pPr>
            <w:r/>
            <w:r>
              <w:rPr>
                <w:b w:val="0"/>
                <w:i w:val="0"/>
                <w:sz w:val="16"/>
              </w:rPr>
              <w:t>Manufacturer-traceable</w:t>
            </w:r>
          </w:p>
        </w:tc>
      </w:tr>
    </w:tbl>
    <w:p>
      <w:pPr>
        <w:spacing w:before="0" w:after="80"/>
      </w:pPr>
    </w:p>
    <w:p>
      <w:pPr>
        <w:spacing w:before="160" w:after="60" w:line="276" w:lineRule="auto"/>
      </w:pPr>
      <w:r>
        <w:rPr>
          <w:b/>
          <w:i w:val="0"/>
          <w:sz w:val="21"/>
        </w:rPr>
        <w:t>7.7  Vendor-managed inventory programme</w:t>
      </w:r>
    </w:p>
    <w:p>
      <w:pPr>
        <w:spacing w:before="0" w:after="80" w:line="276" w:lineRule="auto"/>
      </w:pPr>
      <w:r>
        <w:rPr>
          <w:b w:val="0"/>
          <w:i w:val="0"/>
          <w:sz w:val="21"/>
        </w:rPr>
        <w:t>Under the vendor-managed inventory programme the Company installs labelled bins at the customer's point of use, sets minimum and maximum levels with the customer, and replenishes on a fixed schedule from its route vehicles. The customer is invoiced for replenishments only, at the account's pricing tier, and receives a monthly consumption report by bin and cost centre. The programme requires a Gold-tier account, a minimum of forty bins, and a twelve-month agreement. Bins, labels and racking remain the Company's property.</w:t>
      </w:r>
    </w:p>
    <w:p>
      <w:pPr>
        <w:spacing w:before="160" w:after="60" w:line="276" w:lineRule="auto"/>
      </w:pPr>
      <w:r>
        <w:rPr>
          <w:b/>
          <w:i w:val="0"/>
          <w:sz w:val="21"/>
        </w:rPr>
        <w:t>7.8  Sustainability and product compliance</w:t>
      </w:r>
    </w:p>
    <w:p>
      <w:pPr>
        <w:spacing w:before="0" w:after="80" w:line="276" w:lineRule="auto"/>
      </w:pPr>
      <w:r>
        <w:rPr>
          <w:b w:val="0"/>
          <w:i w:val="0"/>
          <w:sz w:val="21"/>
        </w:rPr>
        <w:t>The Company holds ISO 9001 and ISO 14001 certification for its Dallas operations. Products are supplied with the manufacturer's declarations of conformity where applicable, including RoHS and REACH statements for electrical and electronic goods and safety data sheets for chemicals, adhesives and lubricants. Customers may request conflict-minerals reporting for products containing tin, tantalum, tungsten or gold; the Company collects the information from its suppliers annually.</w:t>
      </w:r>
    </w:p>
    <w:p>
      <w:pPr>
        <w:spacing w:before="160" w:after="60" w:line="276" w:lineRule="auto"/>
      </w:pPr>
      <w:r>
        <w:rPr>
          <w:b/>
          <w:i w:val="0"/>
          <w:sz w:val="21"/>
        </w:rPr>
        <w:t>7.9  Price list extract — fasteners and fittings (list price, per 100 unless stated)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18"/>
        <w:gridCol w:w="1218"/>
        <w:gridCol w:w="1218"/>
        <w:gridCol w:w="1218"/>
        <w:gridCol w:w="1218"/>
        <w:gridCol w:w="1218"/>
        <w:gridCol w:w="1218"/>
        <w:gridCol w:w="1218"/>
      </w:tblGrid>
      <w:tr>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c>
          <w:tcPr>
            <w:tcW w:type="dxa" w:w="1361"/>
            <w:vAlign w:val="bottom"/>
            <w:shd w:val="clear" w:color="auto" w:fill="D9D9D9"/>
          </w:tcPr>
          <w:p>
            <w:pPr>
              <w:spacing w:before="0" w:after="0"/>
            </w:pPr>
            <w:r/>
            <w:r>
              <w:rPr>
                <w:b/>
                <w:i w:val="0"/>
                <w:sz w:val="14"/>
              </w:rPr>
              <w:t>Part number</w:t>
            </w:r>
          </w:p>
        </w:tc>
        <w:tc>
          <w:tcPr>
            <w:tcW w:type="dxa" w:w="2381"/>
            <w:vAlign w:val="bottom"/>
            <w:shd w:val="clear" w:color="auto" w:fill="D9D9D9"/>
          </w:tcPr>
          <w:p>
            <w:pPr>
              <w:spacing w:before="0" w:after="0"/>
            </w:pPr>
            <w:r/>
            <w:r>
              <w:rPr>
                <w:b/>
                <w:i w:val="0"/>
                <w:sz w:val="14"/>
              </w:rPr>
              <w:t>Description</w:t>
            </w:r>
          </w:p>
        </w:tc>
        <w:tc>
          <w:tcPr>
            <w:tcW w:type="dxa" w:w="510"/>
            <w:vAlign w:val="bottom"/>
            <w:shd w:val="clear" w:color="auto" w:fill="D9D9D9"/>
          </w:tcPr>
          <w:p>
            <w:pPr>
              <w:spacing w:before="0" w:after="0"/>
            </w:pPr>
            <w:r/>
            <w:r>
              <w:rPr>
                <w:b/>
                <w:i w:val="0"/>
                <w:sz w:val="14"/>
              </w:rPr>
              <w:t>Unit</w:t>
            </w:r>
          </w:p>
        </w:tc>
        <w:tc>
          <w:tcPr>
            <w:tcW w:type="dxa" w:w="794"/>
            <w:vAlign w:val="bottom"/>
            <w:shd w:val="clear" w:color="auto" w:fill="D9D9D9"/>
          </w:tcPr>
          <w:p>
            <w:pPr>
              <w:spacing w:before="0" w:after="0"/>
            </w:pPr>
            <w:r/>
            <w:r>
              <w:rPr>
                <w:b/>
                <w:i w:val="0"/>
                <w:sz w:val="14"/>
              </w:rPr>
              <w:t>List price</w:t>
            </w:r>
          </w:p>
        </w:tc>
      </w:tr>
      <w:tr>
        <w:tc>
          <w:tcPr>
            <w:tcW w:type="dxa" w:w="1361"/>
          </w:tcPr>
          <w:p>
            <w:pPr>
              <w:spacing w:before="0" w:after="0"/>
            </w:pPr>
            <w:r/>
            <w:r>
              <w:rPr>
                <w:b w:val="0"/>
                <w:i w:val="0"/>
                <w:sz w:val="16"/>
              </w:rPr>
              <w:t>HB-M6-20-88</w:t>
            </w:r>
          </w:p>
        </w:tc>
        <w:tc>
          <w:tcPr>
            <w:tcW w:type="dxa" w:w="2381"/>
          </w:tcPr>
          <w:p>
            <w:pPr>
              <w:spacing w:before="0" w:after="0"/>
            </w:pPr>
            <w:r/>
            <w:r>
              <w:rPr>
                <w:b w:val="0"/>
                <w:i w:val="0"/>
                <w:sz w:val="16"/>
              </w:rPr>
              <w:t>Hex bolt M6 × 20,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$9.80</w:t>
            </w:r>
          </w:p>
        </w:tc>
        <w:tc>
          <w:tcPr>
            <w:tcW w:type="dxa" w:w="1361"/>
          </w:tcPr>
          <w:p>
            <w:pPr>
              <w:spacing w:before="0" w:after="0"/>
            </w:pPr>
            <w:r/>
            <w:r>
              <w:rPr>
                <w:b w:val="0"/>
                <w:i w:val="0"/>
                <w:sz w:val="16"/>
              </w:rPr>
              <w:t>WF-M6-A2</w:t>
            </w:r>
          </w:p>
        </w:tc>
        <w:tc>
          <w:tcPr>
            <w:tcW w:type="dxa" w:w="2381"/>
          </w:tcPr>
          <w:p>
            <w:pPr>
              <w:spacing w:before="0" w:after="0"/>
            </w:pPr>
            <w:r/>
            <w:r>
              <w:rPr>
                <w:b w:val="0"/>
                <w:i w:val="0"/>
                <w:sz w:val="16"/>
              </w:rPr>
              <w:t>Flat washer M6,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$3.40</w:t>
            </w:r>
          </w:p>
        </w:tc>
      </w:tr>
      <w:tr>
        <w:tc>
          <w:tcPr>
            <w:tcW w:type="dxa" w:w="1361"/>
          </w:tcPr>
          <w:p>
            <w:pPr>
              <w:spacing w:before="0" w:after="0"/>
            </w:pPr>
            <w:r/>
            <w:r>
              <w:rPr>
                <w:b w:val="0"/>
                <w:i w:val="0"/>
                <w:sz w:val="16"/>
              </w:rPr>
              <w:t>HB-M8-25-88</w:t>
            </w:r>
          </w:p>
        </w:tc>
        <w:tc>
          <w:tcPr>
            <w:tcW w:type="dxa" w:w="2381"/>
          </w:tcPr>
          <w:p>
            <w:pPr>
              <w:spacing w:before="0" w:after="0"/>
            </w:pPr>
            <w:r/>
            <w:r>
              <w:rPr>
                <w:b w:val="0"/>
                <w:i w:val="0"/>
                <w:sz w:val="16"/>
              </w:rPr>
              <w:t>Hex bolt M8 × 25,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$16.20</w:t>
            </w:r>
          </w:p>
        </w:tc>
        <w:tc>
          <w:tcPr>
            <w:tcW w:type="dxa" w:w="1361"/>
          </w:tcPr>
          <w:p>
            <w:pPr>
              <w:spacing w:before="0" w:after="0"/>
            </w:pPr>
            <w:r/>
            <w:r>
              <w:rPr>
                <w:b w:val="0"/>
                <w:i w:val="0"/>
                <w:sz w:val="16"/>
              </w:rPr>
              <w:t>WF-M8-A2</w:t>
            </w:r>
          </w:p>
        </w:tc>
        <w:tc>
          <w:tcPr>
            <w:tcW w:type="dxa" w:w="2381"/>
          </w:tcPr>
          <w:p>
            <w:pPr>
              <w:spacing w:before="0" w:after="0"/>
            </w:pPr>
            <w:r/>
            <w:r>
              <w:rPr>
                <w:b w:val="0"/>
                <w:i w:val="0"/>
                <w:sz w:val="16"/>
              </w:rPr>
              <w:t>Flat washer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$4.90</w:t>
            </w:r>
          </w:p>
        </w:tc>
      </w:tr>
      <w:tr>
        <w:tc>
          <w:tcPr>
            <w:tcW w:type="dxa" w:w="1361"/>
          </w:tcPr>
          <w:p>
            <w:pPr>
              <w:spacing w:before="0" w:after="0"/>
            </w:pPr>
            <w:r/>
            <w:r>
              <w:rPr>
                <w:b w:val="0"/>
                <w:i w:val="0"/>
                <w:sz w:val="16"/>
              </w:rPr>
              <w:t>HB-M10-30-88</w:t>
            </w:r>
          </w:p>
        </w:tc>
        <w:tc>
          <w:tcPr>
            <w:tcW w:type="dxa" w:w="2381"/>
          </w:tcPr>
          <w:p>
            <w:pPr>
              <w:spacing w:before="0" w:after="0"/>
            </w:pPr>
            <w:r/>
            <w:r>
              <w:rPr>
                <w:b w:val="0"/>
                <w:i w:val="0"/>
                <w:sz w:val="16"/>
              </w:rPr>
              <w:t>Hex bolt M10 × 30,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$27.50</w:t>
            </w:r>
          </w:p>
        </w:tc>
        <w:tc>
          <w:tcPr>
            <w:tcW w:type="dxa" w:w="1361"/>
          </w:tcPr>
          <w:p>
            <w:pPr>
              <w:spacing w:before="0" w:after="0"/>
            </w:pPr>
            <w:r/>
            <w:r>
              <w:rPr>
                <w:b w:val="0"/>
                <w:i w:val="0"/>
                <w:sz w:val="16"/>
              </w:rPr>
              <w:t>WF-M10-A2</w:t>
            </w:r>
          </w:p>
        </w:tc>
        <w:tc>
          <w:tcPr>
            <w:tcW w:type="dxa" w:w="2381"/>
          </w:tcPr>
          <w:p>
            <w:pPr>
              <w:spacing w:before="0" w:after="0"/>
            </w:pPr>
            <w:r/>
            <w:r>
              <w:rPr>
                <w:b w:val="0"/>
                <w:i w:val="0"/>
                <w:sz w:val="16"/>
              </w:rPr>
              <w:t>Flat washer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$7.10</w:t>
            </w:r>
          </w:p>
        </w:tc>
      </w:tr>
      <w:tr>
        <w:tc>
          <w:tcPr>
            <w:tcW w:type="dxa" w:w="1361"/>
          </w:tcPr>
          <w:p>
            <w:pPr>
              <w:spacing w:before="0" w:after="0"/>
            </w:pPr>
            <w:r/>
            <w:r>
              <w:rPr>
                <w:b w:val="0"/>
                <w:i w:val="0"/>
                <w:sz w:val="16"/>
              </w:rPr>
              <w:t>HB-M12-40-88</w:t>
            </w:r>
          </w:p>
        </w:tc>
        <w:tc>
          <w:tcPr>
            <w:tcW w:type="dxa" w:w="2381"/>
          </w:tcPr>
          <w:p>
            <w:pPr>
              <w:spacing w:before="0" w:after="0"/>
            </w:pPr>
            <w:r/>
            <w:r>
              <w:rPr>
                <w:b w:val="0"/>
                <w:i w:val="0"/>
                <w:sz w:val="16"/>
              </w:rPr>
              <w:t>Hex bolt M12 × 40, grade 8.8,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$48.00</w:t>
            </w:r>
          </w:p>
        </w:tc>
        <w:tc>
          <w:tcPr>
            <w:tcW w:type="dxa" w:w="1361"/>
          </w:tcPr>
          <w:p>
            <w:pPr>
              <w:spacing w:before="0" w:after="0"/>
            </w:pPr>
            <w:r/>
            <w:r>
              <w:rPr>
                <w:b w:val="0"/>
                <w:i w:val="0"/>
                <w:sz w:val="16"/>
              </w:rPr>
              <w:t>WS-M8-SP</w:t>
            </w:r>
          </w:p>
        </w:tc>
        <w:tc>
          <w:tcPr>
            <w:tcW w:type="dxa" w:w="2381"/>
          </w:tcPr>
          <w:p>
            <w:pPr>
              <w:spacing w:before="0" w:after="0"/>
            </w:pPr>
            <w:r/>
            <w:r>
              <w:rPr>
                <w:b w:val="0"/>
                <w:i w:val="0"/>
                <w:sz w:val="16"/>
              </w:rPr>
              <w:t>Spring washer M8, zinc</w:t>
            </w:r>
          </w:p>
        </w:tc>
        <w:tc>
          <w:tcPr>
            <w:tcW w:type="dxa" w:w="510"/>
          </w:tcPr>
          <w:p>
            <w:pPr>
              <w:spacing w:before="0" w:after="0"/>
            </w:pPr>
            <w:r/>
            <w:r>
              <w:rPr>
                <w:b w:val="0"/>
                <w:i w:val="0"/>
                <w:sz w:val="16"/>
              </w:rPr>
              <w:t>100</w:t>
            </w:r>
          </w:p>
        </w:tc>
        <w:tc>
          <w:tcPr>
            <w:tcW w:type="dxa" w:w="794"/>
          </w:tcPr>
          <w:p>
            <w:pPr>
              <w:spacing w:before="0" w:after="0"/>
            </w:pPr>
            <w:r/>
            <w:r>
              <w:rPr>
                <w:b w:val="0"/>
                <w:i w:val="0"/>
                <w:sz w:val="16"/>
              </w:rPr>
              <w:t>$2.60</w:t>
            </w:r>
          </w:p>
        </w:tc>
      </w:tr>
      <w:tr>
        <w:tc>
          <w:tcPr>
            <w:tcW w:type="dxa" w:w="1361"/>
          </w:tcPr>
          <w:p>
            <w:pPr>
              <w:spacing w:before="0" w:after="0"/>
            </w:pPr>
            <w:r/>
            <w:r>
              <w:rPr>
                <w:b w:val="0"/>
                <w:i w:val="0"/>
                <w:sz w:val="16"/>
              </w:rPr>
              <w:t>HB-M12-40-109</w:t>
            </w:r>
          </w:p>
        </w:tc>
        <w:tc>
          <w:tcPr>
            <w:tcW w:type="dxa" w:w="2381"/>
          </w:tcPr>
          <w:p>
            <w:pPr>
              <w:spacing w:before="0" w:after="0"/>
            </w:pPr>
            <w:r/>
            <w:r>
              <w:rPr>
                <w:b w:val="0"/>
                <w:i w:val="0"/>
                <w:sz w:val="16"/>
              </w:rPr>
              <w:t>Hex bolt M12 × 40, grade 10.9, black</w:t>
            </w:r>
          </w:p>
        </w:tc>
        <w:tc>
          <w:tcPr>
            <w:tcW w:type="dxa" w:w="510"/>
          </w:tcPr>
          <w:p>
            <w:pPr>
              <w:spacing w:before="0" w:after="0"/>
            </w:pPr>
            <w:r/>
            <w:r>
              <w:rPr>
                <w:b w:val="0"/>
                <w:i w:val="0"/>
                <w:sz w:val="16"/>
              </w:rPr>
              <w:t>100</w:t>
            </w:r>
          </w:p>
        </w:tc>
        <w:tc>
          <w:tcPr>
            <w:tcW w:type="dxa" w:w="794"/>
          </w:tcPr>
          <w:p>
            <w:pPr>
              <w:spacing w:before="0" w:after="0"/>
            </w:pPr>
            <w:r/>
            <w:r>
              <w:rPr>
                <w:b w:val="0"/>
                <w:i w:val="0"/>
                <w:sz w:val="16"/>
              </w:rPr>
              <w:t>$61.00</w:t>
            </w:r>
          </w:p>
        </w:tc>
        <w:tc>
          <w:tcPr>
            <w:tcW w:type="dxa" w:w="1361"/>
          </w:tcPr>
          <w:p>
            <w:pPr>
              <w:spacing w:before="0" w:after="0"/>
            </w:pPr>
            <w:r/>
            <w:r>
              <w:rPr>
                <w:b w:val="0"/>
                <w:i w:val="0"/>
                <w:sz w:val="16"/>
              </w:rPr>
              <w:t>WS-M10-SP</w:t>
            </w:r>
          </w:p>
        </w:tc>
        <w:tc>
          <w:tcPr>
            <w:tcW w:type="dxa" w:w="2381"/>
          </w:tcPr>
          <w:p>
            <w:pPr>
              <w:spacing w:before="0" w:after="0"/>
            </w:pPr>
            <w:r/>
            <w:r>
              <w:rPr>
                <w:b w:val="0"/>
                <w:i w:val="0"/>
                <w:sz w:val="16"/>
              </w:rPr>
              <w:t>Spring washer M10, zinc</w:t>
            </w:r>
          </w:p>
        </w:tc>
        <w:tc>
          <w:tcPr>
            <w:tcW w:type="dxa" w:w="510"/>
          </w:tcPr>
          <w:p>
            <w:pPr>
              <w:spacing w:before="0" w:after="0"/>
            </w:pPr>
            <w:r/>
            <w:r>
              <w:rPr>
                <w:b w:val="0"/>
                <w:i w:val="0"/>
                <w:sz w:val="16"/>
              </w:rPr>
              <w:t>100</w:t>
            </w:r>
          </w:p>
        </w:tc>
        <w:tc>
          <w:tcPr>
            <w:tcW w:type="dxa" w:w="794"/>
          </w:tcPr>
          <w:p>
            <w:pPr>
              <w:spacing w:before="0" w:after="0"/>
            </w:pPr>
            <w:r/>
            <w:r>
              <w:rPr>
                <w:b w:val="0"/>
                <w:i w:val="0"/>
                <w:sz w:val="16"/>
              </w:rPr>
              <w:t>$3.30</w:t>
            </w:r>
          </w:p>
        </w:tc>
      </w:tr>
      <w:tr>
        <w:tc>
          <w:tcPr>
            <w:tcW w:type="dxa" w:w="1361"/>
          </w:tcPr>
          <w:p>
            <w:pPr>
              <w:spacing w:before="0" w:after="0"/>
            </w:pPr>
            <w:r/>
            <w:r>
              <w:rPr>
                <w:b w:val="0"/>
                <w:i w:val="0"/>
                <w:sz w:val="16"/>
              </w:rPr>
              <w:t>HB-M16-50-88</w:t>
            </w:r>
          </w:p>
        </w:tc>
        <w:tc>
          <w:tcPr>
            <w:tcW w:type="dxa" w:w="2381"/>
          </w:tcPr>
          <w:p>
            <w:pPr>
              <w:spacing w:before="0" w:after="0"/>
            </w:pPr>
            <w:r/>
            <w:r>
              <w:rPr>
                <w:b w:val="0"/>
                <w:i w:val="0"/>
                <w:sz w:val="16"/>
              </w:rPr>
              <w:t>Hex bolt M16 × 50, grade 8.8,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c>
          <w:tcPr>
            <w:tcW w:type="dxa" w:w="1361"/>
          </w:tcPr>
          <w:p>
            <w:pPr>
              <w:spacing w:before="0" w:after="0"/>
            </w:pPr>
            <w:r/>
            <w:r>
              <w:rPr>
                <w:b w:val="0"/>
                <w:i w:val="0"/>
                <w:sz w:val="16"/>
              </w:rPr>
              <w:t>SC-M6-16-A2</w:t>
            </w:r>
          </w:p>
        </w:tc>
        <w:tc>
          <w:tcPr>
            <w:tcW w:type="dxa" w:w="2381"/>
          </w:tcPr>
          <w:p>
            <w:pPr>
              <w:spacing w:before="0" w:after="0"/>
            </w:pPr>
            <w:r/>
            <w:r>
              <w:rPr>
                <w:b w:val="0"/>
                <w:i w:val="0"/>
                <w:sz w:val="16"/>
              </w:rPr>
              <w:t>Socket cap screw M6 × 16, A2</w:t>
            </w:r>
          </w:p>
        </w:tc>
        <w:tc>
          <w:tcPr>
            <w:tcW w:type="dxa" w:w="510"/>
          </w:tcPr>
          <w:p>
            <w:pPr>
              <w:spacing w:before="0" w:after="0"/>
            </w:pPr>
            <w:r/>
            <w:r>
              <w:rPr>
                <w:b w:val="0"/>
                <w:i w:val="0"/>
                <w:sz w:val="16"/>
              </w:rPr>
              <w:t>100</w:t>
            </w:r>
          </w:p>
        </w:tc>
        <w:tc>
          <w:tcPr>
            <w:tcW w:type="dxa" w:w="794"/>
          </w:tcPr>
          <w:p>
            <w:pPr>
              <w:spacing w:before="0" w:after="0"/>
            </w:pPr>
            <w:r/>
            <w:r>
              <w:rPr>
                <w:b w:val="0"/>
                <w:i w:val="0"/>
                <w:sz w:val="16"/>
              </w:rPr>
              <w:t>$14.20</w:t>
            </w:r>
          </w:p>
        </w:tc>
      </w:tr>
      <w:tr>
        <w:tc>
          <w:tcPr>
            <w:tcW w:type="dxa" w:w="1361"/>
          </w:tcPr>
          <w:p>
            <w:pPr>
              <w:spacing w:before="0" w:after="0"/>
            </w:pPr>
            <w:r/>
            <w:r>
              <w:rPr>
                <w:b w:val="0"/>
                <w:i w:val="0"/>
                <w:sz w:val="16"/>
              </w:rPr>
              <w:t>HN-M6-8</w:t>
            </w:r>
          </w:p>
        </w:tc>
        <w:tc>
          <w:tcPr>
            <w:tcW w:type="dxa" w:w="2381"/>
          </w:tcPr>
          <w:p>
            <w:pPr>
              <w:spacing w:before="0" w:after="0"/>
            </w:pPr>
            <w:r/>
            <w:r>
              <w:rPr>
                <w:b w:val="0"/>
                <w:i w:val="0"/>
                <w:sz w:val="16"/>
              </w:rPr>
              <w:t>Hex nut M6,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$3.10</w:t>
            </w:r>
          </w:p>
        </w:tc>
        <w:tc>
          <w:tcPr>
            <w:tcW w:type="dxa" w:w="1361"/>
          </w:tcPr>
          <w:p>
            <w:pPr>
              <w:spacing w:before="0" w:after="0"/>
            </w:pPr>
            <w:r/>
            <w:r>
              <w:rPr>
                <w:b w:val="0"/>
                <w:i w:val="0"/>
                <w:sz w:val="16"/>
              </w:rPr>
              <w:t>SC-M8-20-A2</w:t>
            </w:r>
          </w:p>
        </w:tc>
        <w:tc>
          <w:tcPr>
            <w:tcW w:type="dxa" w:w="2381"/>
          </w:tcPr>
          <w:p>
            <w:pPr>
              <w:spacing w:before="0" w:after="0"/>
            </w:pPr>
            <w:r/>
            <w:r>
              <w:rPr>
                <w:b w:val="0"/>
                <w:i w:val="0"/>
                <w:sz w:val="16"/>
              </w:rPr>
              <w:t>Socket cap screw M8 × 20, A2</w:t>
            </w:r>
          </w:p>
        </w:tc>
        <w:tc>
          <w:tcPr>
            <w:tcW w:type="dxa" w:w="510"/>
          </w:tcPr>
          <w:p>
            <w:pPr>
              <w:spacing w:before="0" w:after="0"/>
            </w:pPr>
            <w:r/>
            <w:r>
              <w:rPr>
                <w:b w:val="0"/>
                <w:i w:val="0"/>
                <w:sz w:val="16"/>
              </w:rPr>
              <w:t>100</w:t>
            </w:r>
          </w:p>
        </w:tc>
        <w:tc>
          <w:tcPr>
            <w:tcW w:type="dxa" w:w="794"/>
          </w:tcPr>
          <w:p>
            <w:pPr>
              <w:spacing w:before="0" w:after="0"/>
            </w:pPr>
            <w:r/>
            <w:r>
              <w:rPr>
                <w:b w:val="0"/>
                <w:i w:val="0"/>
                <w:sz w:val="16"/>
              </w:rPr>
              <w:t>$23.80</w:t>
            </w:r>
          </w:p>
        </w:tc>
      </w:tr>
      <w:tr>
        <w:tc>
          <w:tcPr>
            <w:tcW w:type="dxa" w:w="1361"/>
          </w:tcPr>
          <w:p>
            <w:pPr>
              <w:spacing w:before="0" w:after="0"/>
            </w:pPr>
            <w:r/>
            <w:r>
              <w:rPr>
                <w:b w:val="0"/>
                <w:i w:val="0"/>
                <w:sz w:val="16"/>
              </w:rPr>
              <w:t>HN-M8-8</w:t>
            </w:r>
          </w:p>
        </w:tc>
        <w:tc>
          <w:tcPr>
            <w:tcW w:type="dxa" w:w="2381"/>
          </w:tcPr>
          <w:p>
            <w:pPr>
              <w:spacing w:before="0" w:after="0"/>
            </w:pPr>
            <w:r/>
            <w:r>
              <w:rPr>
                <w:b w:val="0"/>
                <w:i w:val="0"/>
                <w:sz w:val="16"/>
              </w:rPr>
              <w:t>Hex nut M8,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$4.60</w:t>
            </w:r>
          </w:p>
        </w:tc>
        <w:tc>
          <w:tcPr>
            <w:tcW w:type="dxa" w:w="1361"/>
          </w:tcPr>
          <w:p>
            <w:pPr>
              <w:spacing w:before="0" w:after="0"/>
            </w:pPr>
            <w:r/>
            <w:r>
              <w:rPr>
                <w:b w:val="0"/>
                <w:i w:val="0"/>
                <w:sz w:val="16"/>
              </w:rPr>
              <w:t>SC-M10-25-129</w:t>
            </w:r>
          </w:p>
        </w:tc>
        <w:tc>
          <w:tcPr>
            <w:tcW w:type="dxa" w:w="2381"/>
          </w:tcPr>
          <w:p>
            <w:pPr>
              <w:spacing w:before="0" w:after="0"/>
            </w:pPr>
            <w:r/>
            <w:r>
              <w:rPr>
                <w:b w:val="0"/>
                <w:i w:val="0"/>
                <w:sz w:val="16"/>
              </w:rPr>
              <w:t>Socket cap screw M10 × 25, 12.9</w:t>
            </w:r>
          </w:p>
        </w:tc>
        <w:tc>
          <w:tcPr>
            <w:tcW w:type="dxa" w:w="510"/>
          </w:tcPr>
          <w:p>
            <w:pPr>
              <w:spacing w:before="0" w:after="0"/>
            </w:pPr>
            <w:r/>
            <w:r>
              <w:rPr>
                <w:b w:val="0"/>
                <w:i w:val="0"/>
                <w:sz w:val="16"/>
              </w:rPr>
              <w:t>100</w:t>
            </w:r>
          </w:p>
        </w:tc>
        <w:tc>
          <w:tcPr>
            <w:tcW w:type="dxa" w:w="794"/>
          </w:tcPr>
          <w:p>
            <w:pPr>
              <w:spacing w:before="0" w:after="0"/>
            </w:pPr>
            <w:r/>
            <w:r>
              <w:rPr>
                <w:b w:val="0"/>
                <w:i w:val="0"/>
                <w:sz w:val="16"/>
              </w:rPr>
              <w:t>$31.40</w:t>
            </w:r>
          </w:p>
        </w:tc>
      </w:tr>
      <w:tr>
        <w:tc>
          <w:tcPr>
            <w:tcW w:type="dxa" w:w="1361"/>
          </w:tcPr>
          <w:p>
            <w:pPr>
              <w:spacing w:before="0" w:after="0"/>
            </w:pPr>
            <w:r/>
            <w:r>
              <w:rPr>
                <w:b w:val="0"/>
                <w:i w:val="0"/>
                <w:sz w:val="16"/>
              </w:rPr>
              <w:t>HN-M10-8</w:t>
            </w:r>
          </w:p>
        </w:tc>
        <w:tc>
          <w:tcPr>
            <w:tcW w:type="dxa" w:w="2381"/>
          </w:tcPr>
          <w:p>
            <w:pPr>
              <w:spacing w:before="0" w:after="0"/>
            </w:pPr>
            <w:r/>
            <w:r>
              <w:rPr>
                <w:b w:val="0"/>
                <w:i w:val="0"/>
                <w:sz w:val="16"/>
              </w:rPr>
              <w:t>Hex nut M10,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$7.90</w:t>
            </w:r>
          </w:p>
        </w:tc>
        <w:tc>
          <w:tcPr>
            <w:tcW w:type="dxa" w:w="1361"/>
          </w:tcPr>
          <w:p>
            <w:pPr>
              <w:spacing w:before="0" w:after="0"/>
            </w:pPr>
            <w:r/>
            <w:r>
              <w:rPr>
                <w:b w:val="0"/>
                <w:i w:val="0"/>
                <w:sz w:val="16"/>
              </w:rPr>
              <w:t>AN-M10-CS</w:t>
            </w:r>
          </w:p>
        </w:tc>
        <w:tc>
          <w:tcPr>
            <w:tcW w:type="dxa" w:w="2381"/>
          </w:tcPr>
          <w:p>
            <w:pPr>
              <w:spacing w:before="0" w:after="0"/>
            </w:pPr>
            <w:r/>
            <w:r>
              <w:rPr>
                <w:b w:val="0"/>
                <w:i w:val="0"/>
                <w:sz w:val="16"/>
              </w:rPr>
              <w:t>Concrete sleeve anchor M10 × 80</w:t>
            </w:r>
          </w:p>
        </w:tc>
        <w:tc>
          <w:tcPr>
            <w:tcW w:type="dxa" w:w="510"/>
          </w:tcPr>
          <w:p>
            <w:pPr>
              <w:spacing w:before="0" w:after="0"/>
            </w:pPr>
            <w:r/>
            <w:r>
              <w:rPr>
                <w:b w:val="0"/>
                <w:i w:val="0"/>
                <w:sz w:val="16"/>
              </w:rPr>
              <w:t>50</w:t>
            </w:r>
          </w:p>
        </w:tc>
        <w:tc>
          <w:tcPr>
            <w:tcW w:type="dxa" w:w="794"/>
          </w:tcPr>
          <w:p>
            <w:pPr>
              <w:spacing w:before="0" w:after="0"/>
            </w:pPr>
            <w:r/>
            <w:r>
              <w:rPr>
                <w:b w:val="0"/>
                <w:i w:val="0"/>
                <w:sz w:val="16"/>
              </w:rPr>
              <w:t>$42.00</w:t>
            </w:r>
          </w:p>
        </w:tc>
      </w:tr>
      <w:tr>
        <w:tc>
          <w:tcPr>
            <w:tcW w:type="dxa" w:w="1361"/>
          </w:tcPr>
          <w:p>
            <w:pPr>
              <w:spacing w:before="0" w:after="0"/>
            </w:pPr>
            <w:r/>
            <w:r>
              <w:rPr>
                <w:b w:val="0"/>
                <w:i w:val="0"/>
                <w:sz w:val="16"/>
              </w:rPr>
              <w:t>HN-M12-8</w:t>
            </w:r>
          </w:p>
        </w:tc>
        <w:tc>
          <w:tcPr>
            <w:tcW w:type="dxa" w:w="2381"/>
          </w:tcPr>
          <w:p>
            <w:pPr>
              <w:spacing w:before="0" w:after="0"/>
            </w:pPr>
            <w:r/>
            <w:r>
              <w:rPr>
                <w:b w:val="0"/>
                <w:i w:val="0"/>
                <w:sz w:val="16"/>
              </w:rPr>
              <w:t>Hex nut M12, class 8, zinc</w:t>
            </w:r>
          </w:p>
        </w:tc>
        <w:tc>
          <w:tcPr>
            <w:tcW w:type="dxa" w:w="510"/>
          </w:tcPr>
          <w:p>
            <w:pPr>
              <w:spacing w:before="0" w:after="0"/>
            </w:pPr>
            <w:r/>
            <w:r>
              <w:rPr>
                <w:b w:val="0"/>
                <w:i w:val="0"/>
                <w:sz w:val="16"/>
              </w:rPr>
              <w:t>100</w:t>
            </w:r>
          </w:p>
        </w:tc>
        <w:tc>
          <w:tcPr>
            <w:tcW w:type="dxa" w:w="794"/>
          </w:tcPr>
          <w:p>
            <w:pPr>
              <w:spacing w:before="0" w:after="0"/>
            </w:pPr>
            <w:r/>
            <w:r>
              <w:rPr>
                <w:b w:val="0"/>
                <w:i w:val="0"/>
                <w:sz w:val="16"/>
              </w:rPr>
              <w:t>$12.40</w:t>
            </w:r>
          </w:p>
        </w:tc>
        <w:tc>
          <w:tcPr>
            <w:tcW w:type="dxa" w:w="1361"/>
          </w:tcPr>
          <w:p>
            <w:pPr>
              <w:spacing w:before="0" w:after="0"/>
            </w:pPr>
            <w:r/>
            <w:r>
              <w:rPr>
                <w:b w:val="0"/>
                <w:i w:val="0"/>
                <w:sz w:val="16"/>
              </w:rPr>
              <w:t>AN-M12-WB</w:t>
            </w:r>
          </w:p>
        </w:tc>
        <w:tc>
          <w:tcPr>
            <w:tcW w:type="dxa" w:w="2381"/>
          </w:tcPr>
          <w:p>
            <w:pPr>
              <w:spacing w:before="0" w:after="0"/>
            </w:pPr>
            <w:r/>
            <w:r>
              <w:rPr>
                <w:b w:val="0"/>
                <w:i w:val="0"/>
                <w:sz w:val="16"/>
              </w:rPr>
              <w:t>Wedge anchor M12 × 100, zinc</w:t>
            </w:r>
          </w:p>
        </w:tc>
        <w:tc>
          <w:tcPr>
            <w:tcW w:type="dxa" w:w="510"/>
          </w:tcPr>
          <w:p>
            <w:pPr>
              <w:spacing w:before="0" w:after="0"/>
            </w:pPr>
            <w:r/>
            <w:r>
              <w:rPr>
                <w:b w:val="0"/>
                <w:i w:val="0"/>
                <w:sz w:val="16"/>
              </w:rPr>
              <w:t>50</w:t>
            </w:r>
          </w:p>
        </w:tc>
        <w:tc>
          <w:tcPr>
            <w:tcW w:type="dxa" w:w="794"/>
          </w:tcPr>
          <w:p>
            <w:pPr>
              <w:spacing w:before="0" w:after="0"/>
            </w:pPr>
            <w:r/>
            <w:r>
              <w:rPr>
                <w:b w:val="0"/>
                <w:i w:val="0"/>
                <w:sz w:val="16"/>
              </w:rPr>
              <w:t>$58.00</w:t>
            </w:r>
          </w:p>
        </w:tc>
      </w:tr>
      <w:tr>
        <w:tc>
          <w:tcPr>
            <w:tcW w:type="dxa" w:w="1361"/>
          </w:tcPr>
          <w:p>
            <w:pPr>
              <w:spacing w:before="0" w:after="0"/>
            </w:pPr>
            <w:r/>
            <w:r>
              <w:rPr>
                <w:b w:val="0"/>
                <w:i w:val="0"/>
                <w:sz w:val="16"/>
              </w:rPr>
              <w:t>NL-M8-A2</w:t>
            </w:r>
          </w:p>
        </w:tc>
        <w:tc>
          <w:tcPr>
            <w:tcW w:type="dxa" w:w="2381"/>
          </w:tcPr>
          <w:p>
            <w:pPr>
              <w:spacing w:before="0" w:after="0"/>
            </w:pPr>
            <w:r/>
            <w:r>
              <w:rPr>
                <w:b w:val="0"/>
                <w:i w:val="0"/>
                <w:sz w:val="16"/>
              </w:rPr>
              <w:t>Nyloc nut M8,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$9.70</w:t>
            </w:r>
          </w:p>
        </w:tc>
        <w:tc>
          <w:tcPr>
            <w:tcW w:type="dxa" w:w="1361"/>
          </w:tcPr>
          <w:p>
            <w:pPr>
              <w:spacing w:before="0" w:after="0"/>
            </w:pPr>
            <w:r/>
            <w:r>
              <w:rPr>
                <w:b w:val="0"/>
                <w:i w:val="0"/>
                <w:sz w:val="16"/>
              </w:rPr>
              <w:t>RV-4-10-AL</w:t>
            </w:r>
          </w:p>
        </w:tc>
        <w:tc>
          <w:tcPr>
            <w:tcW w:type="dxa" w:w="2381"/>
          </w:tcPr>
          <w:p>
            <w:pPr>
              <w:spacing w:before="0" w:after="0"/>
            </w:pPr>
            <w:r/>
            <w:r>
              <w:rPr>
                <w:b w:val="0"/>
                <w:i w:val="0"/>
                <w:sz w:val="16"/>
              </w:rPr>
              <w:t>Blind rivet 4 × 10, aluminium</w:t>
            </w:r>
          </w:p>
        </w:tc>
        <w:tc>
          <w:tcPr>
            <w:tcW w:type="dxa" w:w="510"/>
          </w:tcPr>
          <w:p>
            <w:pPr>
              <w:spacing w:before="0" w:after="0"/>
            </w:pPr>
            <w:r/>
            <w:r>
              <w:rPr>
                <w:b w:val="0"/>
                <w:i w:val="0"/>
                <w:sz w:val="16"/>
              </w:rPr>
              <w:t>500</w:t>
            </w:r>
          </w:p>
        </w:tc>
        <w:tc>
          <w:tcPr>
            <w:tcW w:type="dxa" w:w="794"/>
          </w:tcPr>
          <w:p>
            <w:pPr>
              <w:spacing w:before="0" w:after="0"/>
            </w:pPr>
            <w:r/>
            <w:r>
              <w:rPr>
                <w:b w:val="0"/>
                <w:i w:val="0"/>
                <w:sz w:val="16"/>
              </w:rPr>
              <w:t>$18.50</w:t>
            </w:r>
          </w:p>
        </w:tc>
      </w:tr>
      <w:tr>
        <w:tc>
          <w:tcPr>
            <w:tcW w:type="dxa" w:w="1361"/>
          </w:tcPr>
          <w:p>
            <w:pPr>
              <w:spacing w:before="0" w:after="0"/>
            </w:pPr>
            <w:r/>
            <w:r>
              <w:rPr>
                <w:b w:val="0"/>
                <w:i w:val="0"/>
                <w:sz w:val="16"/>
              </w:rPr>
              <w:t>NL-M10-A2</w:t>
            </w:r>
          </w:p>
        </w:tc>
        <w:tc>
          <w:tcPr>
            <w:tcW w:type="dxa" w:w="2381"/>
          </w:tcPr>
          <w:p>
            <w:pPr>
              <w:spacing w:before="0" w:after="0"/>
            </w:pPr>
            <w:r/>
            <w:r>
              <w:rPr>
                <w:b w:val="0"/>
                <w:i w:val="0"/>
                <w:sz w:val="16"/>
              </w:rPr>
              <w:t>Nyloc nut M10, A2 stainless</w:t>
            </w:r>
          </w:p>
        </w:tc>
        <w:tc>
          <w:tcPr>
            <w:tcW w:type="dxa" w:w="510"/>
          </w:tcPr>
          <w:p>
            <w:pPr>
              <w:spacing w:before="0" w:after="0"/>
            </w:pPr>
            <w:r/>
            <w:r>
              <w:rPr>
                <w:b w:val="0"/>
                <w:i w:val="0"/>
                <w:sz w:val="16"/>
              </w:rPr>
              <w:t>100</w:t>
            </w:r>
          </w:p>
        </w:tc>
        <w:tc>
          <w:tcPr>
            <w:tcW w:type="dxa" w:w="794"/>
          </w:tcPr>
          <w:p>
            <w:pPr>
              <w:spacing w:before="0" w:after="0"/>
            </w:pPr>
            <w:r/>
            <w:r>
              <w:rPr>
                <w:b w:val="0"/>
                <w:i w:val="0"/>
                <w:sz w:val="16"/>
              </w:rPr>
              <w:t>$14.90</w:t>
            </w:r>
          </w:p>
        </w:tc>
        <w:tc>
          <w:tcPr>
            <w:tcW w:type="dxa" w:w="1361"/>
          </w:tcPr>
          <w:p>
            <w:pPr>
              <w:spacing w:before="0" w:after="0"/>
            </w:pPr>
            <w:r/>
            <w:r>
              <w:rPr>
                <w:b w:val="0"/>
                <w:i w:val="0"/>
                <w:sz w:val="16"/>
              </w:rPr>
              <w:t>RV-5-12-SS</w:t>
            </w:r>
          </w:p>
        </w:tc>
        <w:tc>
          <w:tcPr>
            <w:tcW w:type="dxa" w:w="2381"/>
          </w:tcPr>
          <w:p>
            <w:pPr>
              <w:spacing w:before="0" w:after="0"/>
            </w:pPr>
            <w:r/>
            <w:r>
              <w:rPr>
                <w:b w:val="0"/>
                <w:i w:val="0"/>
                <w:sz w:val="16"/>
              </w:rPr>
              <w:t>Blind rivet 5 × 12, stainless</w:t>
            </w:r>
          </w:p>
        </w:tc>
        <w:tc>
          <w:tcPr>
            <w:tcW w:type="dxa" w:w="510"/>
          </w:tcPr>
          <w:p>
            <w:pPr>
              <w:spacing w:before="0" w:after="0"/>
            </w:pPr>
            <w:r/>
            <w:r>
              <w:rPr>
                <w:b w:val="0"/>
                <w:i w:val="0"/>
                <w:sz w:val="16"/>
              </w:rPr>
              <w:t>500</w:t>
            </w:r>
          </w:p>
        </w:tc>
        <w:tc>
          <w:tcPr>
            <w:tcW w:type="dxa" w:w="794"/>
          </w:tcPr>
          <w:p>
            <w:pPr>
              <w:spacing w:before="0" w:after="0"/>
            </w:pPr>
            <w:r/>
            <w:r>
              <w:rPr>
                <w:b w:val="0"/>
                <w:i w:val="0"/>
                <w:sz w:val="16"/>
              </w:rPr>
              <w:t>$47.00</w:t>
            </w:r>
          </w:p>
        </w:tc>
      </w:tr>
      <w:tr>
        <w:tc>
          <w:tcPr>
            <w:tcW w:type="dxa" w:w="1361"/>
          </w:tcPr>
          <w:p>
            <w:pPr>
              <w:spacing w:before="0" w:after="0"/>
            </w:pPr>
            <w:r/>
            <w:r>
              <w:rPr>
                <w:b w:val="0"/>
                <w:i w:val="0"/>
                <w:sz w:val="16"/>
              </w:rPr>
              <w:t>UNC-14-1-G5</w:t>
            </w:r>
          </w:p>
        </w:tc>
        <w:tc>
          <w:tcPr>
            <w:tcW w:type="dxa" w:w="2381"/>
          </w:tcPr>
          <w:p>
            <w:pPr>
              <w:spacing w:before="0" w:after="0"/>
            </w:pPr>
            <w:r/>
            <w:r>
              <w:rPr>
                <w:b w:val="0"/>
                <w:i w:val="0"/>
                <w:sz w:val="16"/>
              </w:rPr>
              <w:t>Hex bolt 1/4-20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$8.40</w:t>
            </w:r>
          </w:p>
        </w:tc>
        <w:tc>
          <w:tcPr>
            <w:tcW w:type="dxa" w:w="1361"/>
          </w:tcPr>
          <w:p>
            <w:pPr>
              <w:spacing w:before="0" w:after="0"/>
            </w:pPr>
            <w:r/>
            <w:r>
              <w:rPr>
                <w:b w:val="0"/>
                <w:i w:val="0"/>
                <w:sz w:val="16"/>
              </w:rPr>
              <w:t>PF-1/4-NPT-BR</w:t>
            </w:r>
          </w:p>
        </w:tc>
        <w:tc>
          <w:tcPr>
            <w:tcW w:type="dxa" w:w="2381"/>
          </w:tcPr>
          <w:p>
            <w:pPr>
              <w:spacing w:before="0" w:after="0"/>
            </w:pPr>
            <w:r/>
            <w:r>
              <w:rPr>
                <w:b w:val="0"/>
                <w:i w:val="0"/>
                <w:sz w:val="16"/>
              </w:rPr>
              <w:t>Pipe fitting 1/4 NPT tee, brass</w:t>
            </w:r>
          </w:p>
        </w:tc>
        <w:tc>
          <w:tcPr>
            <w:tcW w:type="dxa" w:w="510"/>
          </w:tcPr>
          <w:p>
            <w:pPr>
              <w:spacing w:before="0" w:after="0"/>
            </w:pPr>
            <w:r/>
            <w:r>
              <w:rPr>
                <w:b w:val="0"/>
                <w:i w:val="0"/>
                <w:sz w:val="16"/>
              </w:rPr>
              <w:t>10</w:t>
            </w:r>
          </w:p>
        </w:tc>
        <w:tc>
          <w:tcPr>
            <w:tcW w:type="dxa" w:w="794"/>
          </w:tcPr>
          <w:p>
            <w:pPr>
              <w:spacing w:before="0" w:after="0"/>
            </w:pPr>
            <w:r/>
            <w:r>
              <w:rPr>
                <w:b w:val="0"/>
                <w:i w:val="0"/>
                <w:sz w:val="16"/>
              </w:rPr>
              <w:t>$21.60</w:t>
            </w:r>
          </w:p>
        </w:tc>
      </w:tr>
      <w:tr>
        <w:tc>
          <w:tcPr>
            <w:tcW w:type="dxa" w:w="1361"/>
          </w:tcPr>
          <w:p>
            <w:pPr>
              <w:spacing w:before="0" w:after="0"/>
            </w:pPr>
            <w:r/>
            <w:r>
              <w:rPr>
                <w:b w:val="0"/>
                <w:i w:val="0"/>
                <w:sz w:val="16"/>
              </w:rPr>
              <w:t>UNC-38-1-G5</w:t>
            </w:r>
          </w:p>
        </w:tc>
        <w:tc>
          <w:tcPr>
            <w:tcW w:type="dxa" w:w="2381"/>
          </w:tcPr>
          <w:p>
            <w:pPr>
              <w:spacing w:before="0" w:after="0"/>
            </w:pPr>
            <w:r/>
            <w:r>
              <w:rPr>
                <w:b w:val="0"/>
                <w:i w:val="0"/>
                <w:sz w:val="16"/>
              </w:rPr>
              <w:t>Hex bolt 3/8-16 × 1, grade 5</w:t>
            </w:r>
          </w:p>
        </w:tc>
        <w:tc>
          <w:tcPr>
            <w:tcW w:type="dxa" w:w="510"/>
          </w:tcPr>
          <w:p>
            <w:pPr>
              <w:spacing w:before="0" w:after="0"/>
            </w:pPr>
            <w:r/>
            <w:r>
              <w:rPr>
                <w:b w:val="0"/>
                <w:i w:val="0"/>
                <w:sz w:val="16"/>
              </w:rPr>
              <w:t>100</w:t>
            </w:r>
          </w:p>
        </w:tc>
        <w:tc>
          <w:tcPr>
            <w:tcW w:type="dxa" w:w="794"/>
          </w:tcPr>
          <w:p>
            <w:pPr>
              <w:spacing w:before="0" w:after="0"/>
            </w:pPr>
            <w:r/>
            <w:r>
              <w:rPr>
                <w:b w:val="0"/>
                <w:i w:val="0"/>
                <w:sz w:val="16"/>
              </w:rPr>
              <w:t>$15.90</w:t>
            </w:r>
          </w:p>
        </w:tc>
        <w:tc>
          <w:tcPr>
            <w:tcW w:type="dxa" w:w="1361"/>
          </w:tcPr>
          <w:p>
            <w:pPr>
              <w:spacing w:before="0" w:after="0"/>
            </w:pPr>
            <w:r/>
            <w:r>
              <w:rPr>
                <w:b w:val="0"/>
                <w:i w:val="0"/>
                <w:sz w:val="16"/>
              </w:rPr>
              <w:t>PF-1/2-NPT-SS</w:t>
            </w:r>
          </w:p>
        </w:tc>
        <w:tc>
          <w:tcPr>
            <w:tcW w:type="dxa" w:w="2381"/>
          </w:tcPr>
          <w:p>
            <w:pPr>
              <w:spacing w:before="0" w:after="0"/>
            </w:pPr>
            <w:r/>
            <w:r>
              <w:rPr>
                <w:b w:val="0"/>
                <w:i w:val="0"/>
                <w:sz w:val="16"/>
              </w:rPr>
              <w:t>Pipe fitting 1/2 NPT elbow, 316</w:t>
            </w:r>
          </w:p>
        </w:tc>
        <w:tc>
          <w:tcPr>
            <w:tcW w:type="dxa" w:w="510"/>
          </w:tcPr>
          <w:p>
            <w:pPr>
              <w:spacing w:before="0" w:after="0"/>
            </w:pPr>
            <w:r/>
            <w:r>
              <w:rPr>
                <w:b w:val="0"/>
                <w:i w:val="0"/>
                <w:sz w:val="16"/>
              </w:rPr>
              <w:t>10</w:t>
            </w:r>
          </w:p>
        </w:tc>
        <w:tc>
          <w:tcPr>
            <w:tcW w:type="dxa" w:w="794"/>
          </w:tcPr>
          <w:p>
            <w:pPr>
              <w:spacing w:before="0" w:after="0"/>
            </w:pPr>
            <w:r/>
            <w:r>
              <w:rPr>
                <w:b w:val="0"/>
                <w:i w:val="0"/>
                <w:sz w:val="16"/>
              </w:rPr>
              <w:t>$44.80</w:t>
            </w:r>
          </w:p>
        </w:tc>
      </w:tr>
      <w:tr>
        <w:tc>
          <w:tcPr>
            <w:tcW w:type="dxa" w:w="1361"/>
          </w:tcPr>
          <w:p>
            <w:pPr>
              <w:spacing w:before="0" w:after="0"/>
            </w:pPr>
            <w:r/>
            <w:r>
              <w:rPr>
                <w:b w:val="0"/>
                <w:i w:val="0"/>
                <w:sz w:val="16"/>
              </w:rPr>
              <w:t>UNC-12-2-G8</w:t>
            </w:r>
          </w:p>
        </w:tc>
        <w:tc>
          <w:tcPr>
            <w:tcW w:type="dxa" w:w="2381"/>
          </w:tcPr>
          <w:p>
            <w:pPr>
              <w:spacing w:before="0" w:after="0"/>
            </w:pPr>
            <w:r/>
            <w:r>
              <w:rPr>
                <w:b w:val="0"/>
                <w:i w:val="0"/>
                <w:sz w:val="16"/>
              </w:rPr>
              <w:t>Hex bolt 1/2-13 × 2, grade 8</w:t>
            </w:r>
          </w:p>
        </w:tc>
        <w:tc>
          <w:tcPr>
            <w:tcW w:type="dxa" w:w="510"/>
          </w:tcPr>
          <w:p>
            <w:pPr>
              <w:spacing w:before="0" w:after="0"/>
            </w:pPr>
            <w:r/>
            <w:r>
              <w:rPr>
                <w:b w:val="0"/>
                <w:i w:val="0"/>
                <w:sz w:val="16"/>
              </w:rPr>
              <w:t>50</w:t>
            </w:r>
          </w:p>
        </w:tc>
        <w:tc>
          <w:tcPr>
            <w:tcW w:type="dxa" w:w="794"/>
          </w:tcPr>
          <w:p>
            <w:pPr>
              <w:spacing w:before="0" w:after="0"/>
            </w:pPr>
            <w:r/>
            <w:r>
              <w:rPr>
                <w:b w:val="0"/>
                <w:i w:val="0"/>
                <w:sz w:val="16"/>
              </w:rPr>
              <w:t>$39.00</w:t>
            </w:r>
          </w:p>
        </w:tc>
        <w:tc>
          <w:tcPr>
            <w:tcW w:type="dxa" w:w="1361"/>
          </w:tcPr>
          <w:p>
            <w:pPr>
              <w:spacing w:before="0" w:after="0"/>
            </w:pPr>
            <w:r/>
            <w:r>
              <w:rPr>
                <w:b w:val="0"/>
                <w:i w:val="0"/>
                <w:sz w:val="16"/>
              </w:rPr>
              <w:t>HF-6-JIC-ST</w:t>
            </w:r>
          </w:p>
        </w:tc>
        <w:tc>
          <w:tcPr>
            <w:tcW w:type="dxa" w:w="2381"/>
          </w:tcPr>
          <w:p>
            <w:pPr>
              <w:spacing w:before="0" w:after="0"/>
            </w:pPr>
            <w:r/>
            <w:r>
              <w:rPr>
                <w:b w:val="0"/>
                <w:i w:val="0"/>
                <w:sz w:val="16"/>
              </w:rPr>
              <w:t>Hydraulic fitting 3/8 JIC, steel</w:t>
            </w:r>
          </w:p>
        </w:tc>
        <w:tc>
          <w:tcPr>
            <w:tcW w:type="dxa" w:w="510"/>
          </w:tcPr>
          <w:p>
            <w:pPr>
              <w:spacing w:before="0" w:after="0"/>
            </w:pPr>
            <w:r/>
            <w:r>
              <w:rPr>
                <w:b w:val="0"/>
                <w:i w:val="0"/>
                <w:sz w:val="16"/>
              </w:rPr>
              <w:t>10</w:t>
            </w:r>
          </w:p>
        </w:tc>
        <w:tc>
          <w:tcPr>
            <w:tcW w:type="dxa" w:w="794"/>
          </w:tcPr>
          <w:p>
            <w:pPr>
              <w:spacing w:before="0" w:after="0"/>
            </w:pPr>
            <w:r/>
            <w:r>
              <w:rPr>
                <w:b w:val="0"/>
                <w:i w:val="0"/>
                <w:sz w:val="16"/>
              </w:rPr>
              <w:t>$27.30</w:t>
            </w:r>
          </w:p>
        </w:tc>
      </w:tr>
    </w:tbl>
    <w:p>
      <w:pPr>
        <w:spacing w:before="0" w:after="80"/>
      </w:pPr>
    </w:p>
    <w:p>
      <w:pPr>
        <w:spacing w:before="0" w:after="120" w:line="276" w:lineRule="auto"/>
      </w:pPr>
      <w:r>
        <w:rPr>
          <w:b w:val="0"/>
          <w:i/>
          <w:sz w:val="17"/>
        </w:rPr>
        <w:t>Prices are list prices in United States dollars, effective 1 January 2026, before the tier discount in Section 2.5. The full price list of 18,000 lines is on the web portal.</w:t>
      </w:r>
    </w:p>
    <w:p>
      <w:pPr>
        <w:spacing w:before="160" w:after="60" w:line="276" w:lineRule="auto"/>
      </w:pPr>
      <w:r>
        <w:rPr>
          <w:b/>
          <w:i w:val="0"/>
          <w:sz w:val="21"/>
        </w:rPr>
        <w:t>7.10  Manufacturer line card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Manufacturer</w:t>
            </w:r>
          </w:p>
        </w:tc>
        <w:tc>
          <w:tcPr>
            <w:tcW w:type="dxa" w:w="3175"/>
            <w:vAlign w:val="bottom"/>
            <w:shd w:val="clear" w:color="auto" w:fill="D9D9D9"/>
          </w:tcPr>
          <w:p>
            <w:pPr>
              <w:spacing w:before="0" w:after="0"/>
            </w:pPr>
            <w:r/>
            <w:r>
              <w:rPr>
                <w:b/>
                <w:i w:val="0"/>
                <w:sz w:val="14"/>
              </w:rPr>
              <w:t>Product group</w:t>
            </w:r>
          </w:p>
        </w:tc>
        <w:tc>
          <w:tcPr>
            <w:tcW w:type="dxa" w:w="1928"/>
            <w:vAlign w:val="bottom"/>
            <w:shd w:val="clear" w:color="auto" w:fill="D9D9D9"/>
          </w:tcPr>
          <w:p>
            <w:pPr>
              <w:spacing w:before="0" w:after="0"/>
            </w:pPr>
            <w:r/>
            <w:r>
              <w:rPr>
                <w:b/>
                <w:i w:val="0"/>
                <w:sz w:val="14"/>
              </w:rPr>
              <w:t>Stocked in</w:t>
            </w:r>
          </w:p>
        </w:tc>
        <w:tc>
          <w:tcPr>
            <w:tcW w:type="dxa" w:w="1701"/>
            <w:vAlign w:val="bottom"/>
            <w:shd w:val="clear" w:color="auto" w:fill="D9D9D9"/>
          </w:tcPr>
          <w:p>
            <w:pPr>
              <w:spacing w:before="0" w:after="0"/>
            </w:pPr>
            <w:r/>
            <w:r>
              <w:rPr>
                <w:b/>
                <w:i w:val="0"/>
                <w:sz w:val="14"/>
              </w:rPr>
              <w:t>Authorised distributor</w:t>
            </w:r>
          </w:p>
        </w:tc>
      </w:tr>
      <w:tr>
        <w:tc>
          <w:tcPr>
            <w:tcW w:type="dxa" w:w="2608"/>
          </w:tcPr>
          <w:p>
            <w:pPr>
              <w:spacing w:before="0" w:after="0"/>
            </w:pPr>
            <w:r/>
            <w:r>
              <w:rPr>
                <w:b w:val="0"/>
                <w:i w:val="0"/>
                <w:sz w:val="16"/>
              </w:rPr>
              <w:t>Apex Bearing Corporation</w:t>
            </w:r>
          </w:p>
        </w:tc>
        <w:tc>
          <w:tcPr>
            <w:tcW w:type="dxa" w:w="3175"/>
          </w:tcPr>
          <w:p>
            <w:pPr>
              <w:spacing w:before="0" w:after="0"/>
            </w:pPr>
            <w:r/>
            <w:r>
              <w:rPr>
                <w:b w:val="0"/>
                <w:i w:val="0"/>
                <w:sz w:val="16"/>
              </w:rPr>
              <w:t>Bearings and housings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Brightline Pneumatics</w:t>
            </w:r>
          </w:p>
        </w:tc>
        <w:tc>
          <w:tcPr>
            <w:tcW w:type="dxa" w:w="3175"/>
          </w:tcPr>
          <w:p>
            <w:pPr>
              <w:spacing w:before="0" w:after="0"/>
            </w:pPr>
            <w:r/>
            <w:r>
              <w:rPr>
                <w:b w:val="0"/>
                <w:i w:val="0"/>
                <w:sz w:val="16"/>
              </w:rPr>
              <w:t>Cylinders, valves, FRL</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Cascade Hydraulics</w:t>
            </w:r>
          </w:p>
        </w:tc>
        <w:tc>
          <w:tcPr>
            <w:tcW w:type="dxa" w:w="3175"/>
          </w:tcPr>
          <w:p>
            <w:pPr>
              <w:spacing w:before="0" w:after="0"/>
            </w:pPr>
            <w:r/>
            <w:r>
              <w:rPr>
                <w:b w:val="0"/>
                <w:i w:val="0"/>
                <w:sz w:val="16"/>
              </w:rPr>
              <w:t>Hose, fittings, pumps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Delta Controls Group</w:t>
            </w:r>
          </w:p>
        </w:tc>
        <w:tc>
          <w:tcPr>
            <w:tcW w:type="dxa" w:w="3175"/>
          </w:tcPr>
          <w:p>
            <w:pPr>
              <w:spacing w:before="0" w:after="0"/>
            </w:pPr>
            <w:r/>
            <w:r>
              <w:rPr>
                <w:b w:val="0"/>
                <w:i w:val="0"/>
                <w:sz w:val="16"/>
              </w:rPr>
              <w:t>Contactors, relays, sensors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Everest Instruments</w:t>
            </w:r>
          </w:p>
        </w:tc>
        <w:tc>
          <w:tcPr>
            <w:tcW w:type="dxa" w:w="3175"/>
          </w:tcPr>
          <w:p>
            <w:pPr>
              <w:spacing w:before="0" w:after="0"/>
            </w:pPr>
            <w:r/>
            <w:r>
              <w:rPr>
                <w:b w:val="0"/>
                <w:i w:val="0"/>
                <w:sz w:val="16"/>
              </w:rPr>
              <w:t>Pressure and temperature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Frontier Cutting Tools</w:t>
            </w:r>
          </w:p>
        </w:tc>
        <w:tc>
          <w:tcPr>
            <w:tcW w:type="dxa" w:w="3175"/>
          </w:tcPr>
          <w:p>
            <w:pPr>
              <w:spacing w:before="0" w:after="0"/>
            </w:pPr>
            <w:r/>
            <w:r>
              <w:rPr>
                <w:b w:val="0"/>
                <w:i w:val="0"/>
                <w:sz w:val="16"/>
              </w:rPr>
              <w:t>Drills, end mills, inserts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Granite Safety Products</w:t>
            </w:r>
          </w:p>
        </w:tc>
        <w:tc>
          <w:tcPr>
            <w:tcW w:type="dxa" w:w="3175"/>
          </w:tcPr>
          <w:p>
            <w:pPr>
              <w:spacing w:before="0" w:after="0"/>
            </w:pPr>
            <w:r/>
            <w:r>
              <w:rPr>
                <w:b w:val="0"/>
                <w:i w:val="0"/>
                <w:sz w:val="16"/>
              </w:rPr>
              <w:t>PPE, signage, spill control</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Harbor Adhesives</w:t>
            </w:r>
          </w:p>
        </w:tc>
        <w:tc>
          <w:tcPr>
            <w:tcW w:type="dxa" w:w="3175"/>
          </w:tcPr>
          <w:p>
            <w:pPr>
              <w:spacing w:before="0" w:after="0"/>
            </w:pPr>
            <w:r/>
            <w:r>
              <w:rPr>
                <w:b w:val="0"/>
                <w:i w:val="0"/>
                <w:sz w:val="16"/>
              </w:rPr>
              <w:t>Threadlockers, sealants, lubricants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Ironclad Fasteners</w:t>
            </w:r>
          </w:p>
        </w:tc>
        <w:tc>
          <w:tcPr>
            <w:tcW w:type="dxa" w:w="3175"/>
          </w:tcPr>
          <w:p>
            <w:pPr>
              <w:spacing w:before="0" w:after="0"/>
            </w:pPr>
            <w:r/>
            <w:r>
              <w:rPr>
                <w:b w:val="0"/>
                <w:i w:val="0"/>
                <w:sz w:val="16"/>
              </w:rPr>
              <w:t>Metric and imperial fasteners</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Juniper Material Handling</w:t>
            </w:r>
          </w:p>
        </w:tc>
        <w:tc>
          <w:tcPr>
            <w:tcW w:type="dxa" w:w="3175"/>
          </w:tcPr>
          <w:p>
            <w:pPr>
              <w:spacing w:before="0" w:after="0"/>
            </w:pPr>
            <w:r/>
            <w:r>
              <w:rPr>
                <w:b w:val="0"/>
                <w:i w:val="0"/>
                <w:sz w:val="16"/>
              </w:rPr>
              <w:t>Casters, hoists, slings</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Keystone Enclosures</w:t>
            </w:r>
          </w:p>
        </w:tc>
        <w:tc>
          <w:tcPr>
            <w:tcW w:type="dxa" w:w="3175"/>
          </w:tcPr>
          <w:p>
            <w:pPr>
              <w:spacing w:before="0" w:after="0"/>
            </w:pPr>
            <w:r/>
            <w:r>
              <w:rPr>
                <w:b w:val="0"/>
                <w:i w:val="0"/>
                <w:sz w:val="16"/>
              </w:rPr>
              <w:t>Electrical enclosures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Lakeside Power Transmission</w:t>
            </w:r>
          </w:p>
        </w:tc>
        <w:tc>
          <w:tcPr>
            <w:tcW w:type="dxa" w:w="3175"/>
          </w:tcPr>
          <w:p>
            <w:pPr>
              <w:spacing w:before="0" w:after="0"/>
            </w:pPr>
            <w:r/>
            <w:r>
              <w:rPr>
                <w:b w:val="0"/>
                <w:i w:val="0"/>
                <w:sz w:val="16"/>
              </w:rPr>
              <w:t>Belts, pulleys, couplings, chain</w:t>
            </w:r>
          </w:p>
        </w:tc>
        <w:tc>
          <w:tcPr>
            <w:tcW w:type="dxa" w:w="1928"/>
          </w:tcPr>
          <w:p>
            <w:pPr>
              <w:spacing w:before="0" w:after="0"/>
            </w:pPr>
            <w:r/>
            <w:r>
              <w:rPr>
                <w:b w:val="0"/>
                <w:i w:val="0"/>
                <w:sz w:val="16"/>
              </w:rPr>
              <w:t>Dallas, Fort Worth</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Meridian-branded</w:t>
            </w:r>
          </w:p>
        </w:tc>
        <w:tc>
          <w:tcPr>
            <w:tcW w:type="dxa" w:w="3175"/>
          </w:tcPr>
          <w:p>
            <w:pPr>
              <w:spacing w:before="0" w:after="0"/>
            </w:pPr>
            <w:r/>
            <w:r>
              <w:rPr>
                <w:b w:val="0"/>
                <w:i w:val="0"/>
                <w:sz w:val="16"/>
              </w:rPr>
              <w:t>Fabricated brackets, hose assemblies, kits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Manufacturer</w:t>
            </w:r>
          </w:p>
        </w:tc>
      </w:tr>
      <w:tr>
        <w:tc>
          <w:tcPr>
            <w:tcW w:type="dxa" w:w="2608"/>
          </w:tcPr>
          <w:p>
            <w:pPr>
              <w:spacing w:before="0" w:after="0"/>
            </w:pPr>
            <w:r/>
            <w:r>
              <w:rPr>
                <w:b w:val="0"/>
                <w:i w:val="0"/>
                <w:sz w:val="16"/>
              </w:rPr>
              <w:t>Northgate Flow</w:t>
            </w:r>
          </w:p>
        </w:tc>
        <w:tc>
          <w:tcPr>
            <w:tcW w:type="dxa" w:w="3175"/>
          </w:tcPr>
          <w:p>
            <w:pPr>
              <w:spacing w:before="0" w:after="0"/>
            </w:pPr>
            <w:r/>
            <w:r>
              <w:rPr>
                <w:b w:val="0"/>
                <w:i w:val="0"/>
                <w:sz w:val="16"/>
              </w:rPr>
              <w:t>Flow meters and level instruments</w:t>
            </w:r>
          </w:p>
        </w:tc>
        <w:tc>
          <w:tcPr>
            <w:tcW w:type="dxa" w:w="1928"/>
          </w:tcPr>
          <w:p>
            <w:pPr>
              <w:spacing w:before="0" w:after="0"/>
            </w:pPr>
            <w:r/>
            <w:r>
              <w:rPr>
                <w:b w:val="0"/>
                <w:i w:val="0"/>
                <w:sz w:val="16"/>
              </w:rPr>
              <w:t>Dallas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Oakridge Abrasives</w:t>
            </w:r>
          </w:p>
        </w:tc>
        <w:tc>
          <w:tcPr>
            <w:tcW w:type="dxa" w:w="3175"/>
          </w:tcPr>
          <w:p>
            <w:pPr>
              <w:spacing w:before="0" w:after="0"/>
            </w:pPr>
            <w:r/>
            <w:r>
              <w:rPr>
                <w:b w:val="0"/>
                <w:i w:val="0"/>
                <w:sz w:val="16"/>
              </w:rPr>
              <w:t>Grinding and finishing</w:t>
            </w:r>
          </w:p>
        </w:tc>
        <w:tc>
          <w:tcPr>
            <w:tcW w:type="dxa" w:w="1928"/>
          </w:tcPr>
          <w:p>
            <w:pPr>
              <w:spacing w:before="0" w:after="0"/>
            </w:pPr>
            <w:r/>
            <w:r>
              <w:rPr>
                <w:b w:val="0"/>
                <w:i w:val="0"/>
                <w:sz w:val="16"/>
              </w:rPr>
              <w:t>All branches</w:t>
            </w:r>
          </w:p>
        </w:tc>
        <w:tc>
          <w:tcPr>
            <w:tcW w:type="dxa" w:w="1701"/>
          </w:tcPr>
          <w:p>
            <w:pPr>
              <w:spacing w:before="0" w:after="0"/>
            </w:pPr>
            <w:r/>
            <w:r>
              <w:rPr>
                <w:b w:val="0"/>
                <w:i w:val="0"/>
                <w:sz w:val="16"/>
              </w:rPr>
              <w:t>Yes</w:t>
            </w:r>
          </w:p>
        </w:tc>
      </w:tr>
      <w:tr>
        <w:tc>
          <w:tcPr>
            <w:tcW w:type="dxa" w:w="2608"/>
          </w:tcPr>
          <w:p>
            <w:pPr>
              <w:spacing w:before="0" w:after="0"/>
            </w:pPr>
            <w:r/>
            <w:r>
              <w:rPr>
                <w:b w:val="0"/>
                <w:i w:val="0"/>
                <w:sz w:val="16"/>
              </w:rPr>
              <w:t>Pinnacle Cable</w:t>
            </w:r>
          </w:p>
        </w:tc>
        <w:tc>
          <w:tcPr>
            <w:tcW w:type="dxa" w:w="3175"/>
          </w:tcPr>
          <w:p>
            <w:pPr>
              <w:spacing w:before="0" w:after="0"/>
            </w:pPr>
            <w:r/>
            <w:r>
              <w:rPr>
                <w:b w:val="0"/>
                <w:i w:val="0"/>
                <w:sz w:val="16"/>
              </w:rPr>
              <w:t>Control and power cable</w:t>
            </w:r>
          </w:p>
        </w:tc>
        <w:tc>
          <w:tcPr>
            <w:tcW w:type="dxa" w:w="1928"/>
          </w:tcPr>
          <w:p>
            <w:pPr>
              <w:spacing w:before="0" w:after="0"/>
            </w:pPr>
            <w:r/>
            <w:r>
              <w:rPr>
                <w:b w:val="0"/>
                <w:i w:val="0"/>
                <w:sz w:val="16"/>
              </w:rPr>
              <w:t>Dallas, Houston</w:t>
            </w:r>
          </w:p>
        </w:tc>
        <w:tc>
          <w:tcPr>
            <w:tcW w:type="dxa" w:w="1701"/>
          </w:tcPr>
          <w:p>
            <w:pPr>
              <w:spacing w:before="0" w:after="0"/>
            </w:pPr>
            <w:r/>
            <w:r>
              <w:rPr>
                <w:b w:val="0"/>
                <w:i w:val="0"/>
                <w:sz w:val="16"/>
              </w:rPr>
              <w:t>Yes</w:t>
            </w:r>
          </w:p>
        </w:tc>
      </w:tr>
    </w:tbl>
    <w:p>
      <w:pPr>
        <w:spacing w:before="0" w:after="80"/>
      </w:pPr>
    </w:p>
    <w:p>
      <w:r>
        <w:br w:type="page"/>
      </w:r>
    </w:p>
    <w:p>
      <w:pPr>
        <w:spacing w:before="120" w:after="120" w:line="276" w:lineRule="auto"/>
      </w:pPr>
      <w:r>
        <w:rPr>
          <w:b/>
          <w:i w:val="0"/>
          <w:sz w:val="26"/>
        </w:rPr>
        <w:t>Section 8.  Data Protection Notice</w:t>
      </w:r>
    </w:p>
    <w:p>
      <w:pPr>
        <w:spacing w:before="0" w:after="80" w:line="276" w:lineRule="auto"/>
      </w:pPr>
      <w:r>
        <w:rPr>
          <w:b w:val="0"/>
          <w:i w:val="0"/>
          <w:sz w:val="21"/>
        </w:rPr>
        <w:t>This notice explains how the Company handles the information given on a credit application and gathered during the assessment, including personal information about principals, guarantors and contacts.</w:t>
      </w:r>
    </w:p>
    <w:p>
      <w:pPr>
        <w:spacing w:before="160" w:after="60" w:line="276" w:lineRule="auto"/>
      </w:pPr>
      <w:r>
        <w:rPr>
          <w:b/>
          <w:i w:val="0"/>
          <w:sz w:val="21"/>
        </w:rPr>
        <w:t>8.1  What is collected</w:t>
      </w:r>
    </w:p>
    <w:p>
      <w:pPr>
        <w:spacing w:before="0" w:after="80" w:line="276" w:lineRule="auto"/>
      </w:pPr>
      <w:r>
        <w:rPr>
          <w:b w:val="0"/>
          <w:i w:val="0"/>
          <w:sz w:val="21"/>
        </w:rPr>
        <w:t>The particulars on the application form; the responses of trade and bank references; commercial credit bureau reports; public record searches; and correspondence with the applicant. For principals and guarantors, this may include personal credit information where a personal guarantee is required.</w:t>
      </w:r>
    </w:p>
    <w:p>
      <w:pPr>
        <w:spacing w:before="160" w:after="60" w:line="276" w:lineRule="auto"/>
      </w:pPr>
      <w:r>
        <w:rPr>
          <w:b/>
          <w:i w:val="0"/>
          <w:sz w:val="21"/>
        </w:rPr>
        <w:t>8.2  Why it is collected</w:t>
      </w:r>
    </w:p>
    <w:p>
      <w:pPr>
        <w:spacing w:before="0" w:after="80" w:line="276" w:lineRule="auto"/>
      </w:pPr>
      <w:r>
        <w:rPr>
          <w:b w:val="0"/>
          <w:i w:val="0"/>
          <w:sz w:val="21"/>
        </w:rPr>
        <w:t>To decide whether to extend credit and on what terms; to open and administer the account; to collect amounts due; to detect and prevent fraud; to comply with tax, export control and sanctions obligations; and, unless the applicant opts out, to send product and service information.</w:t>
      </w:r>
    </w:p>
    <w:p>
      <w:pPr>
        <w:spacing w:before="160" w:after="60" w:line="276" w:lineRule="auto"/>
      </w:pPr>
      <w:r>
        <w:rPr>
          <w:b/>
          <w:i w:val="0"/>
          <w:sz w:val="21"/>
        </w:rPr>
        <w:t>8.3  Who it is shared with</w:t>
      </w:r>
    </w:p>
    <w:p>
      <w:pPr>
        <w:spacing w:before="0" w:after="80" w:line="276" w:lineRule="auto"/>
      </w:pPr>
      <w:r>
        <w:rPr>
          <w:b w:val="0"/>
          <w:i w:val="0"/>
          <w:sz w:val="21"/>
        </w:rPr>
        <w:t>Credit bureaus, to which the Company also reports the account's payment experience; the Company's bank, insurers, auditors and legal advisers; collection agencies where an account is referred; carriers, to the extent needed for delivery; and any authority to which disclosure is required by law. The Company does not sell customer information.</w:t>
      </w:r>
    </w:p>
    <w:p>
      <w:pPr>
        <w:spacing w:before="160" w:after="60" w:line="276" w:lineRule="auto"/>
      </w:pPr>
      <w:r>
        <w:rPr>
          <w:b/>
          <w:i w:val="0"/>
          <w:sz w:val="21"/>
        </w:rPr>
        <w:t>8.4  Retention</w:t>
      </w:r>
    </w:p>
    <w:p>
      <w:pPr>
        <w:spacing w:before="0" w:after="80" w:line="276" w:lineRule="auto"/>
      </w:pPr>
      <w:r>
        <w:rPr>
          <w:b w:val="0"/>
          <w:i w:val="0"/>
          <w:sz w:val="21"/>
        </w:rPr>
        <w:t>Application and assessment records are kept for seven years after the account closes. Records relating to a declined application are kept for two years. Reference responses are kept only in summary form after the assessment.</w:t>
      </w:r>
    </w:p>
    <w:p>
      <w:pPr>
        <w:spacing w:before="160" w:after="60" w:line="276" w:lineRule="auto"/>
      </w:pPr>
      <w:r>
        <w:rPr>
          <w:b/>
          <w:i w:val="0"/>
          <w:sz w:val="21"/>
        </w:rPr>
        <w:t>8.5  Access and correction</w:t>
      </w:r>
    </w:p>
    <w:p>
      <w:pPr>
        <w:spacing w:before="0" w:after="80" w:line="276" w:lineRule="auto"/>
      </w:pPr>
      <w:r>
        <w:rPr>
          <w:b w:val="0"/>
          <w:i w:val="0"/>
          <w:sz w:val="21"/>
        </w:rPr>
        <w:t>A contact or principal may ask what personal information the Company holds about them and ask for it to be corrected, by writing to the Credit Manager. The Company responds within thirty days. Marketing communications may be stopped at any time by using the unsubscribe link or by writing to the same address.</w:t>
      </w:r>
    </w:p>
    <w:p>
      <w:r>
        <w:br w:type="page"/>
      </w:r>
    </w:p>
    <w:p>
      <w:pPr>
        <w:spacing w:before="120" w:after="120" w:line="276" w:lineRule="auto"/>
      </w:pPr>
      <w:r>
        <w:rPr>
          <w:b/>
          <w:i w:val="0"/>
          <w:sz w:val="26"/>
        </w:rPr>
        <w:t>Section 9.  Disputes and Complaints</w:t>
      </w:r>
    </w:p>
    <w:p>
      <w:pPr>
        <w:spacing w:before="160" w:after="60" w:line="276" w:lineRule="auto"/>
      </w:pPr>
      <w:r>
        <w:rPr>
          <w:b/>
          <w:i w:val="0"/>
          <w:sz w:val="21"/>
        </w:rPr>
        <w:t>9.1  Invoice disputes</w:t>
      </w:r>
    </w:p>
    <w:p>
      <w:pPr>
        <w:spacing w:before="0" w:after="80" w:line="276" w:lineRule="auto"/>
      </w:pPr>
      <w:r>
        <w:rPr>
          <w:b w:val="0"/>
          <w:i w:val="0"/>
          <w:sz w:val="21"/>
        </w:rPr>
        <w:t>A customer who disputes an invoice must notify the Credit Department within fourteen days of the invoice date, quoting the invoice number, the item and the reason. The disputed amount is excluded from the overdue calculation while the dispute is open; the undisputed balance remains payable on the normal terms. The Credit Department responds within five working days and, where the dispute is upheld, issues a credit note.</w:t>
      </w:r>
    </w:p>
    <w:p>
      <w:pPr>
        <w:spacing w:before="160" w:after="60" w:line="276" w:lineRule="auto"/>
      </w:pPr>
      <w:r>
        <w:rPr>
          <w:b/>
          <w:i w:val="0"/>
          <w:sz w:val="21"/>
        </w:rPr>
        <w:t>9.2  Returns and shortages</w:t>
      </w:r>
    </w:p>
    <w:p>
      <w:pPr>
        <w:spacing w:before="0" w:after="80" w:line="276" w:lineRule="auto"/>
      </w:pPr>
      <w:r>
        <w:rPr>
          <w:b w:val="0"/>
          <w:i w:val="0"/>
          <w:sz w:val="21"/>
        </w:rPr>
        <w:t>Shortages and visible damage must be noted on the carrier's delivery record and reported within five working days. Returns require a return authorisation number and are subject to Section 6, clause 7. Credit for an accepted return is applied to the account within ten working days of receipt of the goods.</w:t>
      </w:r>
    </w:p>
    <w:p>
      <w:pPr>
        <w:spacing w:before="160" w:after="60" w:line="276" w:lineRule="auto"/>
      </w:pPr>
      <w:r>
        <w:rPr>
          <w:b/>
          <w:i w:val="0"/>
          <w:sz w:val="21"/>
        </w:rPr>
        <w:t>9.3  Service complaints</w:t>
      </w:r>
    </w:p>
    <w:p>
      <w:pPr>
        <w:spacing w:before="0" w:after="80" w:line="276" w:lineRule="auto"/>
      </w:pPr>
      <w:r>
        <w:rPr>
          <w:b w:val="0"/>
          <w:i w:val="0"/>
          <w:sz w:val="21"/>
        </w:rPr>
        <w:t>Complaints about service should be raised first with the account manager, who responds within two working days. Unresolved complaints may be escalated to the Regional Sales Manager and then to the Vice-President of Sales, whose decision is final within the Company.</w:t>
      </w:r>
    </w:p>
    <w:p>
      <w:pPr>
        <w:spacing w:before="160" w:after="60" w:line="276" w:lineRule="auto"/>
      </w:pPr>
      <w:r>
        <w:rPr>
          <w:b/>
          <w:i w:val="0"/>
          <w:sz w:val="21"/>
        </w:rPr>
        <w:t>9.4  Credit decisions</w:t>
      </w:r>
    </w:p>
    <w:p>
      <w:pPr>
        <w:spacing w:before="0" w:after="80" w:line="276" w:lineRule="auto"/>
      </w:pPr>
      <w:r>
        <w:rPr>
          <w:b w:val="0"/>
          <w:i w:val="0"/>
          <w:sz w:val="21"/>
        </w:rPr>
        <w:t>An applicant who disagrees with a credit decision may ask the Credit Manager for a review, providing any additional information not available at the time of the original assessment. The review is completed within ten working days. A refused applicant may reapply after six months.</w:t>
      </w:r>
    </w:p>
    <w:p>
      <w:pPr>
        <w:spacing w:before="160" w:after="60" w:line="276" w:lineRule="auto"/>
      </w:pPr>
      <w:r>
        <w:rPr>
          <w:b/>
          <w:i w:val="0"/>
          <w:sz w:val="21"/>
        </w:rPr>
        <w:t>9.5  Escalation matrix</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041"/>
            <w:vAlign w:val="bottom"/>
            <w:shd w:val="clear" w:color="auto" w:fill="D9D9D9"/>
          </w:tcPr>
          <w:p>
            <w:pPr>
              <w:spacing w:before="0" w:after="0"/>
            </w:pPr>
            <w:r/>
            <w:r>
              <w:rPr>
                <w:b/>
                <w:i w:val="0"/>
                <w:sz w:val="14"/>
              </w:rPr>
              <w:t>Issue</w:t>
            </w:r>
          </w:p>
        </w:tc>
        <w:tc>
          <w:tcPr>
            <w:tcW w:type="dxa" w:w="1701"/>
            <w:vAlign w:val="bottom"/>
            <w:shd w:val="clear" w:color="auto" w:fill="D9D9D9"/>
          </w:tcPr>
          <w:p>
            <w:pPr>
              <w:spacing w:before="0" w:after="0"/>
            </w:pPr>
            <w:r/>
            <w:r>
              <w:rPr>
                <w:b/>
                <w:i w:val="0"/>
                <w:sz w:val="14"/>
              </w:rPr>
              <w:t>First contact</w:t>
            </w:r>
          </w:p>
        </w:tc>
        <w:tc>
          <w:tcPr>
            <w:tcW w:type="dxa" w:w="1474"/>
            <w:vAlign w:val="bottom"/>
            <w:shd w:val="clear" w:color="auto" w:fill="D9D9D9"/>
          </w:tcPr>
          <w:p>
            <w:pPr>
              <w:spacing w:before="0" w:after="0"/>
            </w:pPr>
            <w:r/>
            <w:r>
              <w:rPr>
                <w:b/>
                <w:i w:val="0"/>
                <w:sz w:val="14"/>
              </w:rPr>
              <w:t>Response</w:t>
            </w:r>
          </w:p>
        </w:tc>
        <w:tc>
          <w:tcPr>
            <w:tcW w:type="dxa" w:w="2041"/>
            <w:vAlign w:val="bottom"/>
            <w:shd w:val="clear" w:color="auto" w:fill="D9D9D9"/>
          </w:tcPr>
          <w:p>
            <w:pPr>
              <w:spacing w:before="0" w:after="0"/>
            </w:pPr>
            <w:r/>
            <w:r>
              <w:rPr>
                <w:b/>
                <w:i w:val="0"/>
                <w:sz w:val="14"/>
              </w:rPr>
              <w:t>Escalation 1</w:t>
            </w:r>
          </w:p>
        </w:tc>
        <w:tc>
          <w:tcPr>
            <w:tcW w:type="dxa" w:w="2154"/>
            <w:vAlign w:val="bottom"/>
            <w:shd w:val="clear" w:color="auto" w:fill="D9D9D9"/>
          </w:tcPr>
          <w:p>
            <w:pPr>
              <w:spacing w:before="0" w:after="0"/>
            </w:pPr>
            <w:r/>
            <w:r>
              <w:rPr>
                <w:b/>
                <w:i w:val="0"/>
                <w:sz w:val="14"/>
              </w:rPr>
              <w:t>Escalation 2</w:t>
            </w:r>
          </w:p>
        </w:tc>
      </w:tr>
      <w:tr>
        <w:tc>
          <w:tcPr>
            <w:tcW w:type="dxa" w:w="2041"/>
          </w:tcPr>
          <w:p>
            <w:pPr>
              <w:spacing w:before="0" w:after="0"/>
            </w:pPr>
            <w:r/>
            <w:r>
              <w:rPr>
                <w:b w:val="0"/>
                <w:i w:val="0"/>
                <w:sz w:val="16"/>
              </w:rPr>
              <w:t>Order status or delivery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Same day</w:t>
            </w:r>
          </w:p>
        </w:tc>
        <w:tc>
          <w:tcPr>
            <w:tcW w:type="dxa" w:w="2041"/>
          </w:tcPr>
          <w:p>
            <w:pPr>
              <w:spacing w:before="0" w:after="0"/>
            </w:pPr>
            <w:r/>
            <w:r>
              <w:rPr>
                <w:b w:val="0"/>
                <w:i w:val="0"/>
                <w:sz w:val="16"/>
              </w:rPr>
              <w:t>Branch manager</w:t>
            </w:r>
          </w:p>
        </w:tc>
        <w:tc>
          <w:tcPr>
            <w:tcW w:type="dxa" w:w="2154"/>
          </w:tcPr>
          <w:p>
            <w:pPr>
              <w:spacing w:before="0" w:after="0"/>
            </w:pPr>
            <w:r/>
            <w:r>
              <w:rPr>
                <w:b w:val="0"/>
                <w:i w:val="0"/>
                <w:sz w:val="16"/>
              </w:rPr>
              <w:t>Regional Sales Manager</w:t>
            </w:r>
          </w:p>
        </w:tc>
      </w:tr>
      <w:tr>
        <w:tc>
          <w:tcPr>
            <w:tcW w:type="dxa" w:w="2041"/>
          </w:tcPr>
          <w:p>
            <w:pPr>
              <w:spacing w:before="0" w:after="0"/>
            </w:pPr>
            <w:r/>
            <w:r>
              <w:rPr>
                <w:b w:val="0"/>
                <w:i w:val="0"/>
                <w:sz w:val="16"/>
              </w:rPr>
              <w:t>Invoice or statement query</w:t>
            </w:r>
          </w:p>
        </w:tc>
        <w:tc>
          <w:tcPr>
            <w:tcW w:type="dxa" w:w="1701"/>
          </w:tcPr>
          <w:p>
            <w:pPr>
              <w:spacing w:before="0" w:after="0"/>
            </w:pPr>
            <w:r/>
            <w:r>
              <w:rPr>
                <w:b w:val="0"/>
                <w:i w:val="0"/>
                <w:sz w:val="16"/>
              </w:rPr>
              <w:t>Accounts receivable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Credit hold or limit</w:t>
            </w:r>
          </w:p>
        </w:tc>
        <w:tc>
          <w:tcPr>
            <w:tcW w:type="dxa" w:w="1701"/>
          </w:tcPr>
          <w:p>
            <w:pPr>
              <w:spacing w:before="0" w:after="0"/>
            </w:pPr>
            <w:r/>
            <w:r>
              <w:rPr>
                <w:b w:val="0"/>
                <w:i w:val="0"/>
                <w:sz w:val="16"/>
              </w:rPr>
              <w:t>Credit analyst</w:t>
            </w:r>
          </w:p>
        </w:tc>
        <w:tc>
          <w:tcPr>
            <w:tcW w:type="dxa" w:w="1474"/>
          </w:tcPr>
          <w:p>
            <w:pPr>
              <w:spacing w:before="0" w:after="0"/>
            </w:pPr>
            <w:r/>
            <w:r>
              <w:rPr>
                <w:b w:val="0"/>
                <w:i w:val="0"/>
                <w:sz w:val="16"/>
              </w:rPr>
              <w:t>1 working day</w:t>
            </w:r>
          </w:p>
        </w:tc>
        <w:tc>
          <w:tcPr>
            <w:tcW w:type="dxa" w:w="2041"/>
          </w:tcPr>
          <w:p>
            <w:pPr>
              <w:spacing w:before="0" w:after="0"/>
            </w:pPr>
            <w:r/>
            <w:r>
              <w:rPr>
                <w:b w:val="0"/>
                <w:i w:val="0"/>
                <w:sz w:val="16"/>
              </w:rPr>
              <w:t>Credit Manager</w:t>
            </w:r>
          </w:p>
        </w:tc>
        <w:tc>
          <w:tcPr>
            <w:tcW w:type="dxa" w:w="2154"/>
          </w:tcPr>
          <w:p>
            <w:pPr>
              <w:spacing w:before="0" w:after="0"/>
            </w:pPr>
            <w:r/>
            <w:r>
              <w:rPr>
                <w:b w:val="0"/>
                <w:i w:val="0"/>
                <w:sz w:val="16"/>
              </w:rPr>
              <w:t>CFO</w:t>
            </w:r>
          </w:p>
        </w:tc>
      </w:tr>
      <w:tr>
        <w:tc>
          <w:tcPr>
            <w:tcW w:type="dxa" w:w="2041"/>
          </w:tcPr>
          <w:p>
            <w:pPr>
              <w:spacing w:before="0" w:after="0"/>
            </w:pPr>
            <w:r/>
            <w:r>
              <w:rPr>
                <w:b w:val="0"/>
                <w:i w:val="0"/>
                <w:sz w:val="16"/>
              </w:rPr>
              <w:t>Product quality or warranty</w:t>
            </w:r>
          </w:p>
        </w:tc>
        <w:tc>
          <w:tcPr>
            <w:tcW w:type="dxa" w:w="1701"/>
          </w:tcPr>
          <w:p>
            <w:pPr>
              <w:spacing w:before="0" w:after="0"/>
            </w:pPr>
            <w:r/>
            <w:r>
              <w:rPr>
                <w:b w:val="0"/>
                <w:i w:val="0"/>
                <w:sz w:val="16"/>
              </w:rPr>
              <w:t>Customer service</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Quality Manager</w:t>
            </w:r>
          </w:p>
        </w:tc>
        <w:tc>
          <w:tcPr>
            <w:tcW w:type="dxa" w:w="2154"/>
          </w:tcPr>
          <w:p>
            <w:pPr>
              <w:spacing w:before="0" w:after="0"/>
            </w:pPr>
            <w:r/>
            <w:r>
              <w:rPr>
                <w:b w:val="0"/>
                <w:i w:val="0"/>
                <w:sz w:val="16"/>
              </w:rPr>
              <w:t>VP Operations</w:t>
            </w:r>
          </w:p>
        </w:tc>
      </w:tr>
      <w:tr>
        <w:tc>
          <w:tcPr>
            <w:tcW w:type="dxa" w:w="2041"/>
          </w:tcPr>
          <w:p>
            <w:pPr>
              <w:spacing w:before="0" w:after="0"/>
            </w:pPr>
            <w:r/>
            <w:r>
              <w:rPr>
                <w:b w:val="0"/>
                <w:i w:val="0"/>
                <w:sz w:val="16"/>
              </w:rPr>
              <w:t>Pricing or contract</w:t>
            </w:r>
          </w:p>
        </w:tc>
        <w:tc>
          <w:tcPr>
            <w:tcW w:type="dxa" w:w="1701"/>
          </w:tcPr>
          <w:p>
            <w:pPr>
              <w:spacing w:before="0" w:after="0"/>
            </w:pPr>
            <w:r/>
            <w:r>
              <w:rPr>
                <w:b w:val="0"/>
                <w:i w:val="0"/>
                <w:sz w:val="16"/>
              </w:rPr>
              <w:t>Account manager</w:t>
            </w:r>
          </w:p>
        </w:tc>
        <w:tc>
          <w:tcPr>
            <w:tcW w:type="dxa" w:w="1474"/>
          </w:tcPr>
          <w:p>
            <w:pPr>
              <w:spacing w:before="0" w:after="0"/>
            </w:pPr>
            <w:r/>
            <w:r>
              <w:rPr>
                <w:b w:val="0"/>
                <w:i w:val="0"/>
                <w:sz w:val="16"/>
              </w:rPr>
              <w:t>2 working days</w:t>
            </w:r>
          </w:p>
        </w:tc>
        <w:tc>
          <w:tcPr>
            <w:tcW w:type="dxa" w:w="2041"/>
          </w:tcPr>
          <w:p>
            <w:pPr>
              <w:spacing w:before="0" w:after="0"/>
            </w:pPr>
            <w:r/>
            <w:r>
              <w:rPr>
                <w:b w:val="0"/>
                <w:i w:val="0"/>
                <w:sz w:val="16"/>
              </w:rPr>
              <w:t>Regional Sales Manager</w:t>
            </w:r>
          </w:p>
        </w:tc>
        <w:tc>
          <w:tcPr>
            <w:tcW w:type="dxa" w:w="2154"/>
          </w:tcPr>
          <w:p>
            <w:pPr>
              <w:spacing w:before="0" w:after="0"/>
            </w:pPr>
            <w:r/>
            <w:r>
              <w:rPr>
                <w:b w:val="0"/>
                <w:i w:val="0"/>
                <w:sz w:val="16"/>
              </w:rPr>
              <w:t>VP Sales</w:t>
            </w:r>
          </w:p>
        </w:tc>
      </w:tr>
      <w:tr>
        <w:tc>
          <w:tcPr>
            <w:tcW w:type="dxa" w:w="2041"/>
          </w:tcPr>
          <w:p>
            <w:pPr>
              <w:spacing w:before="0" w:after="0"/>
            </w:pPr>
            <w:r/>
            <w:r>
              <w:rPr>
                <w:b w:val="0"/>
                <w:i w:val="0"/>
                <w:sz w:val="16"/>
              </w:rPr>
              <w:t>Data protection</w:t>
            </w:r>
          </w:p>
        </w:tc>
        <w:tc>
          <w:tcPr>
            <w:tcW w:type="dxa" w:w="1701"/>
          </w:tcPr>
          <w:p>
            <w:pPr>
              <w:spacing w:before="0" w:after="0"/>
            </w:pPr>
            <w:r/>
            <w:r>
              <w:rPr>
                <w:b w:val="0"/>
                <w:i w:val="0"/>
                <w:sz w:val="16"/>
              </w:rPr>
              <w:t>Credit Manager</w:t>
            </w:r>
          </w:p>
        </w:tc>
        <w:tc>
          <w:tcPr>
            <w:tcW w:type="dxa" w:w="1474"/>
          </w:tcPr>
          <w:p>
            <w:pPr>
              <w:spacing w:before="0" w:after="0"/>
            </w:pPr>
            <w:r/>
            <w:r>
              <w:rPr>
                <w:b w:val="0"/>
                <w:i w:val="0"/>
                <w:sz w:val="16"/>
              </w:rPr>
              <w:t>30 days</w:t>
            </w:r>
          </w:p>
        </w:tc>
        <w:tc>
          <w:tcPr>
            <w:tcW w:type="dxa" w:w="2041"/>
          </w:tcPr>
          <w:p>
            <w:pPr>
              <w:spacing w:before="0" w:after="0"/>
            </w:pPr>
            <w:r/>
            <w:r>
              <w:rPr>
                <w:b w:val="0"/>
                <w:i w:val="0"/>
                <w:sz w:val="16"/>
              </w:rPr>
              <w:t>CFO</w:t>
            </w:r>
          </w:p>
        </w:tc>
        <w:tc>
          <w:tcPr>
            <w:tcW w:type="dxa" w:w="2154"/>
          </w:tcPr>
          <w:p>
            <w:pPr>
              <w:spacing w:before="0" w:after="0"/>
            </w:pPr>
            <w:r/>
            <w:r>
              <w:rPr>
                <w:b w:val="0"/>
                <w:i w:val="0"/>
                <w:sz w:val="16"/>
              </w:rPr>
              <w:t>—</w:t>
            </w:r>
          </w:p>
        </w:tc>
      </w:tr>
      <w:tr>
        <w:tc>
          <w:tcPr>
            <w:tcW w:type="dxa" w:w="2041"/>
          </w:tcPr>
          <w:p>
            <w:pPr>
              <w:spacing w:before="0" w:after="0"/>
            </w:pPr>
            <w:r/>
            <w:r>
              <w:rPr>
                <w:b w:val="0"/>
                <w:i w:val="0"/>
                <w:sz w:val="16"/>
              </w:rPr>
              <w:t>Ethics concern</w:t>
            </w:r>
          </w:p>
        </w:tc>
        <w:tc>
          <w:tcPr>
            <w:tcW w:type="dxa" w:w="1701"/>
          </w:tcPr>
          <w:p>
            <w:pPr>
              <w:spacing w:before="0" w:after="0"/>
            </w:pPr>
            <w:r/>
            <w:r>
              <w:rPr>
                <w:b w:val="0"/>
                <w:i w:val="0"/>
                <w:sz w:val="16"/>
              </w:rPr>
              <w:t>Ethics line</w:t>
            </w:r>
          </w:p>
        </w:tc>
        <w:tc>
          <w:tcPr>
            <w:tcW w:type="dxa" w:w="1474"/>
          </w:tcPr>
          <w:p>
            <w:pPr>
              <w:spacing w:before="0" w:after="0"/>
            </w:pPr>
            <w:r/>
            <w:r>
              <w:rPr>
                <w:b w:val="0"/>
                <w:i w:val="0"/>
                <w:sz w:val="16"/>
              </w:rPr>
              <w:t>Acknowledged in 5 days</w:t>
            </w:r>
          </w:p>
        </w:tc>
        <w:tc>
          <w:tcPr>
            <w:tcW w:type="dxa" w:w="2041"/>
          </w:tcPr>
          <w:p>
            <w:pPr>
              <w:spacing w:before="0" w:after="0"/>
            </w:pPr>
            <w:r/>
            <w:r>
              <w:rPr>
                <w:b w:val="0"/>
                <w:i w:val="0"/>
                <w:sz w:val="16"/>
              </w:rPr>
              <w:t>General Counsel</w:t>
            </w:r>
          </w:p>
        </w:tc>
        <w:tc>
          <w:tcPr>
            <w:tcW w:type="dxa" w:w="2154"/>
          </w:tcPr>
          <w:p>
            <w:pPr>
              <w:spacing w:before="0" w:after="0"/>
            </w:pPr>
            <w:r/>
            <w:r>
              <w:rPr>
                <w:b w:val="0"/>
                <w:i w:val="0"/>
                <w:sz w:val="16"/>
              </w:rPr>
              <w:t>Board audit committee</w:t>
            </w:r>
          </w:p>
        </w:tc>
      </w:tr>
    </w:tbl>
    <w:p>
      <w:pPr>
        <w:spacing w:before="0" w:after="80"/>
      </w:pPr>
    </w:p>
    <w:p>
      <w:r>
        <w:br w:type="page"/>
      </w:r>
    </w:p>
    <w:p>
      <w:pPr>
        <w:spacing w:before="120" w:after="120" w:line="276" w:lineRule="auto"/>
      </w:pPr>
      <w:r>
        <w:rPr>
          <w:b/>
          <w:i w:val="0"/>
          <w:sz w:val="26"/>
        </w:rPr>
        <w:t>Section 10.  Glossary, Contacts and Document Control</w:t>
      </w:r>
    </w:p>
    <w:p>
      <w:pPr>
        <w:spacing w:before="160" w:after="60" w:line="276" w:lineRule="auto"/>
      </w:pPr>
      <w:r>
        <w:rPr>
          <w:b/>
          <w:i w:val="0"/>
          <w:sz w:val="21"/>
        </w:rPr>
        <w:t>10.1  Glossary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Account manager</w:t>
            </w:r>
          </w:p>
        </w:tc>
        <w:tc>
          <w:tcPr>
            <w:tcW w:type="dxa" w:w="7143"/>
          </w:tcPr>
          <w:p>
            <w:pPr>
              <w:spacing w:before="0" w:after="0"/>
            </w:pPr>
            <w:r/>
            <w:r>
              <w:rPr>
                <w:b w:val="0"/>
                <w:i w:val="0"/>
                <w:sz w:val="16"/>
              </w:rPr>
              <w:t>The Company's sales representative responsible for the customer.</w:t>
            </w:r>
          </w:p>
        </w:tc>
      </w:tr>
      <w:tr>
        <w:tc>
          <w:tcPr>
            <w:tcW w:type="dxa" w:w="2268"/>
          </w:tcPr>
          <w:p>
            <w:pPr>
              <w:spacing w:before="0" w:after="0"/>
            </w:pPr>
            <w:r/>
            <w:r>
              <w:rPr>
                <w:b w:val="0"/>
                <w:i w:val="0"/>
                <w:sz w:val="16"/>
              </w:rPr>
              <w:t>Account type</w:t>
            </w:r>
          </w:p>
        </w:tc>
        <w:tc>
          <w:tcPr>
            <w:tcW w:type="dxa" w:w="7143"/>
          </w:tcPr>
          <w:p>
            <w:pPr>
              <w:spacing w:before="0" w:after="0"/>
            </w:pPr>
            <w:r/>
            <w:r>
              <w:rPr>
                <w:b w:val="0"/>
                <w:i w:val="0"/>
                <w:sz w:val="16"/>
              </w:rPr>
              <w:t>The classification of the account (Prospect, Customer, Reseller, Partner, Key account) that determines terms and pricing.</w:t>
            </w:r>
          </w:p>
        </w:tc>
      </w:tr>
      <w:tr>
        <w:tc>
          <w:tcPr>
            <w:tcW w:type="dxa" w:w="2268"/>
          </w:tcPr>
          <w:p>
            <w:pPr>
              <w:spacing w:before="0" w:after="0"/>
            </w:pPr>
            <w:r/>
            <w:r>
              <w:rPr>
                <w:b w:val="0"/>
                <w:i w:val="0"/>
                <w:sz w:val="16"/>
              </w:rPr>
              <w:t>Billing address</w:t>
            </w:r>
          </w:p>
        </w:tc>
        <w:tc>
          <w:tcPr>
            <w:tcW w:type="dxa" w:w="7143"/>
          </w:tcPr>
          <w:p>
            <w:pPr>
              <w:spacing w:before="0" w:after="0"/>
            </w:pPr>
            <w:r/>
            <w:r>
              <w:rPr>
                <w:b w:val="0"/>
                <w:i w:val="0"/>
                <w:sz w:val="16"/>
              </w:rPr>
              <w:t>The address to which invoices and statements are sent.</w:t>
            </w:r>
          </w:p>
        </w:tc>
      </w:tr>
      <w:tr>
        <w:tc>
          <w:tcPr>
            <w:tcW w:type="dxa" w:w="2268"/>
          </w:tcPr>
          <w:p>
            <w:pPr>
              <w:spacing w:before="0" w:after="0"/>
            </w:pPr>
            <w:r/>
            <w:r>
              <w:rPr>
                <w:b w:val="0"/>
                <w:i w:val="0"/>
                <w:sz w:val="16"/>
              </w:rPr>
              <w:t>Bureau report</w:t>
            </w:r>
          </w:p>
        </w:tc>
        <w:tc>
          <w:tcPr>
            <w:tcW w:type="dxa" w:w="7143"/>
          </w:tcPr>
          <w:p>
            <w:pPr>
              <w:spacing w:before="0" w:after="0"/>
            </w:pPr>
            <w:r/>
            <w:r>
              <w:rPr>
                <w:b w:val="0"/>
                <w:i w:val="0"/>
                <w:sz w:val="16"/>
              </w:rPr>
              <w:t>A commercial credit report obtained from a credit reporting agency.</w:t>
            </w:r>
          </w:p>
        </w:tc>
      </w:tr>
      <w:tr>
        <w:tc>
          <w:tcPr>
            <w:tcW w:type="dxa" w:w="2268"/>
          </w:tcPr>
          <w:p>
            <w:pPr>
              <w:spacing w:before="0" w:after="0"/>
            </w:pPr>
            <w:r/>
            <w:r>
              <w:rPr>
                <w:b w:val="0"/>
                <w:i w:val="0"/>
                <w:sz w:val="16"/>
              </w:rPr>
              <w:t>Credit hold</w:t>
            </w:r>
          </w:p>
        </w:tc>
        <w:tc>
          <w:tcPr>
            <w:tcW w:type="dxa" w:w="7143"/>
          </w:tcPr>
          <w:p>
            <w:pPr>
              <w:spacing w:before="0" w:after="0"/>
            </w:pPr>
            <w:r/>
            <w:r>
              <w:rPr>
                <w:b w:val="0"/>
                <w:i w:val="0"/>
                <w:sz w:val="16"/>
              </w:rPr>
              <w:t>A state in which new orders are accepted only against payment.</w:t>
            </w:r>
          </w:p>
        </w:tc>
      </w:tr>
      <w:tr>
        <w:tc>
          <w:tcPr>
            <w:tcW w:type="dxa" w:w="2268"/>
          </w:tcPr>
          <w:p>
            <w:pPr>
              <w:spacing w:before="0" w:after="0"/>
            </w:pPr>
            <w:r/>
            <w:r>
              <w:rPr>
                <w:b w:val="0"/>
                <w:i w:val="0"/>
                <w:sz w:val="16"/>
              </w:rPr>
              <w:t>Credit limit</w:t>
            </w:r>
          </w:p>
        </w:tc>
        <w:tc>
          <w:tcPr>
            <w:tcW w:type="dxa" w:w="7143"/>
          </w:tcPr>
          <w:p>
            <w:pPr>
              <w:spacing w:before="0" w:after="0"/>
            </w:pPr>
            <w:r/>
            <w:r>
              <w:rPr>
                <w:b w:val="0"/>
                <w:i w:val="0"/>
                <w:sz w:val="16"/>
              </w:rPr>
              <w:t>The maximum total of unpaid invoices and open orders permitted on the account.</w:t>
            </w:r>
          </w:p>
        </w:tc>
      </w:tr>
      <w:tr>
        <w:tc>
          <w:tcPr>
            <w:tcW w:type="dxa" w:w="2268"/>
          </w:tcPr>
          <w:p>
            <w:pPr>
              <w:spacing w:before="0" w:after="0"/>
            </w:pPr>
            <w:r/>
            <w:r>
              <w:rPr>
                <w:b w:val="0"/>
                <w:i w:val="0"/>
                <w:sz w:val="16"/>
              </w:rPr>
              <w:t>DUNS number</w:t>
            </w:r>
          </w:p>
        </w:tc>
        <w:tc>
          <w:tcPr>
            <w:tcW w:type="dxa" w:w="7143"/>
          </w:tcPr>
          <w:p>
            <w:pPr>
              <w:spacing w:before="0" w:after="0"/>
            </w:pPr>
            <w:r/>
            <w:r>
              <w:rPr>
                <w:b w:val="0"/>
                <w:i w:val="0"/>
                <w:sz w:val="16"/>
              </w:rPr>
              <w:t>The nine-digit identifier assigned by Dun and Bradstreet.</w:t>
            </w:r>
          </w:p>
        </w:tc>
      </w:tr>
      <w:tr>
        <w:tc>
          <w:tcPr>
            <w:tcW w:type="dxa" w:w="2268"/>
          </w:tcPr>
          <w:p>
            <w:pPr>
              <w:spacing w:before="0" w:after="0"/>
            </w:pPr>
            <w:r/>
            <w:r>
              <w:rPr>
                <w:b w:val="0"/>
                <w:i w:val="0"/>
                <w:sz w:val="16"/>
              </w:rPr>
              <w:t>Framework agreement</w:t>
            </w:r>
          </w:p>
        </w:tc>
        <w:tc>
          <w:tcPr>
            <w:tcW w:type="dxa" w:w="7143"/>
          </w:tcPr>
          <w:p>
            <w:pPr>
              <w:spacing w:before="0" w:after="0"/>
            </w:pPr>
            <w:r/>
            <w:r>
              <w:rPr>
                <w:b w:val="0"/>
                <w:i w:val="0"/>
                <w:sz w:val="16"/>
              </w:rPr>
              <w:t>A contract setting prices and terms for call-off orders over a period.</w:t>
            </w:r>
          </w:p>
        </w:tc>
      </w:tr>
      <w:tr>
        <w:tc>
          <w:tcPr>
            <w:tcW w:type="dxa" w:w="2268"/>
          </w:tcPr>
          <w:p>
            <w:pPr>
              <w:spacing w:before="0" w:after="0"/>
            </w:pPr>
            <w:r/>
            <w:r>
              <w:rPr>
                <w:b w:val="0"/>
                <w:i w:val="0"/>
                <w:sz w:val="16"/>
              </w:rPr>
              <w:t>Net 30</w:t>
            </w:r>
          </w:p>
        </w:tc>
        <w:tc>
          <w:tcPr>
            <w:tcW w:type="dxa" w:w="7143"/>
          </w:tcPr>
          <w:p>
            <w:pPr>
              <w:spacing w:before="0" w:after="0"/>
            </w:pPr>
            <w:r/>
            <w:r>
              <w:rPr>
                <w:b w:val="0"/>
                <w:i w:val="0"/>
                <w:sz w:val="16"/>
              </w:rPr>
              <w:t>Payment due thirty days from the invoice date.</w:t>
            </w:r>
          </w:p>
        </w:tc>
      </w:tr>
      <w:tr>
        <w:tc>
          <w:tcPr>
            <w:tcW w:type="dxa" w:w="2268"/>
          </w:tcPr>
          <w:p>
            <w:pPr>
              <w:spacing w:before="0" w:after="0"/>
            </w:pPr>
            <w:r/>
            <w:r>
              <w:rPr>
                <w:b w:val="0"/>
                <w:i w:val="0"/>
                <w:sz w:val="16"/>
              </w:rPr>
              <w:t>Prospect</w:t>
            </w:r>
          </w:p>
        </w:tc>
        <w:tc>
          <w:tcPr>
            <w:tcW w:type="dxa" w:w="7143"/>
          </w:tcPr>
          <w:p>
            <w:pPr>
              <w:spacing w:before="0" w:after="0"/>
            </w:pPr>
            <w:r/>
            <w:r>
              <w:rPr>
                <w:b w:val="0"/>
                <w:i w:val="0"/>
                <w:sz w:val="16"/>
              </w:rPr>
              <w:t>An applicant that has not yet placed an order or is trading on prepayment.</w:t>
            </w:r>
          </w:p>
        </w:tc>
      </w:tr>
      <w:tr>
        <w:tc>
          <w:tcPr>
            <w:tcW w:type="dxa" w:w="2268"/>
          </w:tcPr>
          <w:p>
            <w:pPr>
              <w:spacing w:before="0" w:after="0"/>
            </w:pPr>
            <w:r/>
            <w:r>
              <w:rPr>
                <w:b w:val="0"/>
                <w:i w:val="0"/>
                <w:sz w:val="16"/>
              </w:rPr>
              <w:t>Purchase order</w:t>
            </w:r>
          </w:p>
        </w:tc>
        <w:tc>
          <w:tcPr>
            <w:tcW w:type="dxa" w:w="7143"/>
          </w:tcPr>
          <w:p>
            <w:pPr>
              <w:spacing w:before="0" w:after="0"/>
            </w:pPr>
            <w:r/>
            <w:r>
              <w:rPr>
                <w:b w:val="0"/>
                <w:i w:val="0"/>
                <w:sz w:val="16"/>
              </w:rPr>
              <w:t>The customer's document authorising a purchase, quoted on the invoice when required.</w:t>
            </w:r>
          </w:p>
        </w:tc>
      </w:tr>
      <w:tr>
        <w:tc>
          <w:tcPr>
            <w:tcW w:type="dxa" w:w="2268"/>
          </w:tcPr>
          <w:p>
            <w:pPr>
              <w:spacing w:before="0" w:after="0"/>
            </w:pPr>
            <w:r/>
            <w:r>
              <w:rPr>
                <w:b w:val="0"/>
                <w:i w:val="0"/>
                <w:sz w:val="16"/>
              </w:rPr>
              <w:t>Resale certificate</w:t>
            </w:r>
          </w:p>
        </w:tc>
        <w:tc>
          <w:tcPr>
            <w:tcW w:type="dxa" w:w="7143"/>
          </w:tcPr>
          <w:p>
            <w:pPr>
              <w:spacing w:before="0" w:after="0"/>
            </w:pPr>
            <w:r/>
            <w:r>
              <w:rPr>
                <w:b w:val="0"/>
                <w:i w:val="0"/>
                <w:sz w:val="16"/>
              </w:rPr>
              <w:t>A state document allowing a reseller to buy without paying sales tax.</w:t>
            </w:r>
          </w:p>
        </w:tc>
      </w:tr>
      <w:tr>
        <w:tc>
          <w:tcPr>
            <w:tcW w:type="dxa" w:w="2268"/>
          </w:tcPr>
          <w:p>
            <w:pPr>
              <w:spacing w:before="0" w:after="0"/>
            </w:pPr>
            <w:r/>
            <w:r>
              <w:rPr>
                <w:b w:val="0"/>
                <w:i w:val="0"/>
                <w:sz w:val="16"/>
              </w:rPr>
              <w:t>Trade reference</w:t>
            </w:r>
          </w:p>
        </w:tc>
        <w:tc>
          <w:tcPr>
            <w:tcW w:type="dxa" w:w="7143"/>
          </w:tcPr>
          <w:p>
            <w:pPr>
              <w:spacing w:before="0" w:after="0"/>
            </w:pPr>
            <w:r/>
            <w:r>
              <w:rPr>
                <w:b w:val="0"/>
                <w:i w:val="0"/>
                <w:sz w:val="16"/>
              </w:rPr>
              <w:t>A business that has extended credit to the applicant and can report on its payment record.</w:t>
            </w:r>
          </w:p>
        </w:tc>
      </w:tr>
    </w:tbl>
    <w:p>
      <w:pPr>
        <w:spacing w:before="0" w:after="80"/>
      </w:pPr>
    </w:p>
    <w:p>
      <w:pPr>
        <w:spacing w:before="160" w:after="60" w:line="276" w:lineRule="auto"/>
      </w:pPr>
      <w:r>
        <w:rPr>
          <w:b/>
          <w:i w:val="0"/>
          <w:sz w:val="21"/>
        </w:rPr>
        <w:t>10.2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Function</w:t>
            </w:r>
          </w:p>
        </w:tc>
        <w:tc>
          <w:tcPr>
            <w:tcW w:type="dxa" w:w="4876"/>
            <w:vAlign w:val="bottom"/>
            <w:shd w:val="clear" w:color="auto" w:fill="D9D9D9"/>
          </w:tcPr>
          <w:p>
            <w:pPr>
              <w:spacing w:before="0" w:after="0"/>
            </w:pPr>
            <w:r/>
            <w:r>
              <w:rPr>
                <w:b/>
                <w:i w:val="0"/>
                <w:sz w:val="14"/>
              </w:rPr>
              <w:t>Contact</w:t>
            </w:r>
          </w:p>
        </w:tc>
      </w:tr>
      <w:tr>
        <w:tc>
          <w:tcPr>
            <w:tcW w:type="dxa" w:w="4535"/>
          </w:tcPr>
          <w:p>
            <w:pPr>
              <w:spacing w:before="0" w:after="0"/>
            </w:pPr>
            <w:r/>
            <w:r>
              <w:rPr>
                <w:b w:val="0"/>
                <w:i w:val="0"/>
                <w:sz w:val="16"/>
              </w:rPr>
              <w:t>Credit Department (applications, limits, references)</w:t>
            </w:r>
          </w:p>
        </w:tc>
        <w:tc>
          <w:tcPr>
            <w:tcW w:type="dxa" w:w="4876"/>
          </w:tcPr>
          <w:p>
            <w:pPr>
              <w:spacing w:before="0" w:after="0"/>
            </w:pPr>
            <w:r/>
            <w:r>
              <w:rPr>
                <w:b w:val="0"/>
                <w:i w:val="0"/>
                <w:sz w:val="16"/>
              </w:rPr>
              <w:t>credit@meridianindustrial.example; (555) 480-2150</w:t>
            </w:r>
          </w:p>
        </w:tc>
      </w:tr>
      <w:tr>
        <w:tc>
          <w:tcPr>
            <w:tcW w:type="dxa" w:w="4535"/>
          </w:tcPr>
          <w:p>
            <w:pPr>
              <w:spacing w:before="0" w:after="0"/>
            </w:pPr>
            <w:r/>
            <w:r>
              <w:rPr>
                <w:b w:val="0"/>
                <w:i w:val="0"/>
                <w:sz w:val="16"/>
              </w:rPr>
              <w:t>Accounts receivable (invoices, statements, payments)</w:t>
            </w:r>
          </w:p>
        </w:tc>
        <w:tc>
          <w:tcPr>
            <w:tcW w:type="dxa" w:w="4876"/>
          </w:tcPr>
          <w:p>
            <w:pPr>
              <w:spacing w:before="0" w:after="0"/>
            </w:pPr>
            <w:r/>
            <w:r>
              <w:rPr>
                <w:b w:val="0"/>
                <w:i w:val="0"/>
                <w:sz w:val="16"/>
              </w:rPr>
              <w:t>ar@meridianindustrial.example; (555) 480-2160</w:t>
            </w:r>
          </w:p>
        </w:tc>
      </w:tr>
      <w:tr>
        <w:tc>
          <w:tcPr>
            <w:tcW w:type="dxa" w:w="4535"/>
          </w:tcPr>
          <w:p>
            <w:pPr>
              <w:spacing w:before="0" w:after="0"/>
            </w:pPr>
            <w:r/>
            <w:r>
              <w:rPr>
                <w:b w:val="0"/>
                <w:i w:val="0"/>
                <w:sz w:val="16"/>
              </w:rPr>
              <w:t>Customer service (orders, deliveries, returns)</w:t>
            </w:r>
          </w:p>
        </w:tc>
        <w:tc>
          <w:tcPr>
            <w:tcW w:type="dxa" w:w="4876"/>
          </w:tcPr>
          <w:p>
            <w:pPr>
              <w:spacing w:before="0" w:after="0"/>
            </w:pPr>
            <w:r/>
            <w:r>
              <w:rPr>
                <w:b w:val="0"/>
                <w:i w:val="0"/>
                <w:sz w:val="16"/>
              </w:rPr>
              <w:t>service@meridianindustrial.example; (555) 480-2100</w:t>
            </w:r>
          </w:p>
        </w:tc>
      </w:tr>
      <w:tr>
        <w:tc>
          <w:tcPr>
            <w:tcW w:type="dxa" w:w="4535"/>
          </w:tcPr>
          <w:p>
            <w:pPr>
              <w:spacing w:before="0" w:after="0"/>
            </w:pPr>
            <w:r/>
            <w:r>
              <w:rPr>
                <w:b w:val="0"/>
                <w:i w:val="0"/>
                <w:sz w:val="16"/>
              </w:rPr>
              <w:t>Data protection</w:t>
            </w:r>
          </w:p>
        </w:tc>
        <w:tc>
          <w:tcPr>
            <w:tcW w:type="dxa" w:w="4876"/>
          </w:tcPr>
          <w:p>
            <w:pPr>
              <w:spacing w:before="0" w:after="0"/>
            </w:pPr>
            <w:r/>
            <w:r>
              <w:rPr>
                <w:b w:val="0"/>
                <w:i w:val="0"/>
                <w:sz w:val="16"/>
              </w:rPr>
              <w:t>Credit Manager, in writing to the head office address</w:t>
            </w:r>
          </w:p>
        </w:tc>
      </w:tr>
      <w:tr>
        <w:tc>
          <w:tcPr>
            <w:tcW w:type="dxa" w:w="4535"/>
          </w:tcPr>
          <w:p>
            <w:pPr>
              <w:spacing w:before="0" w:after="0"/>
            </w:pPr>
            <w:r/>
            <w:r>
              <w:rPr>
                <w:b w:val="0"/>
                <w:i w:val="0"/>
                <w:sz w:val="16"/>
              </w:rPr>
              <w:t>Vice-President of Sales (escalations)</w:t>
            </w:r>
          </w:p>
        </w:tc>
        <w:tc>
          <w:tcPr>
            <w:tcW w:type="dxa" w:w="4876"/>
          </w:tcPr>
          <w:p>
            <w:pPr>
              <w:spacing w:before="0" w:after="0"/>
            </w:pPr>
            <w:r/>
            <w:r>
              <w:rPr>
                <w:b w:val="0"/>
                <w:i w:val="0"/>
                <w:sz w:val="16"/>
              </w:rPr>
              <w:t>In writing to the head office address</w:t>
            </w:r>
          </w:p>
        </w:tc>
      </w:tr>
    </w:tbl>
    <w:p>
      <w:pPr>
        <w:spacing w:before="0" w:after="80"/>
      </w:pPr>
    </w:p>
    <w:p>
      <w:pPr>
        <w:spacing w:before="160" w:after="60" w:line="276" w:lineRule="auto"/>
      </w:pPr>
      <w:r>
        <w:rPr>
          <w:b/>
          <w:i w:val="0"/>
          <w:sz w:val="21"/>
        </w:rPr>
        <w:t>10.3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01/03/2020</w:t>
            </w:r>
          </w:p>
        </w:tc>
        <w:tc>
          <w:tcPr>
            <w:tcW w:type="dxa" w:w="4876"/>
          </w:tcPr>
          <w:p>
            <w:pPr>
              <w:spacing w:before="0" w:after="0"/>
            </w:pPr>
            <w:r/>
            <w:r>
              <w:rPr>
                <w:b w:val="0"/>
                <w:i w:val="0"/>
                <w:sz w:val="16"/>
              </w:rPr>
              <w:t>First issue of the onboarding pack</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01/09/2021</w:t>
            </w:r>
          </w:p>
        </w:tc>
        <w:tc>
          <w:tcPr>
            <w:tcW w:type="dxa" w:w="4876"/>
          </w:tcPr>
          <w:p>
            <w:pPr>
              <w:spacing w:before="0" w:after="0"/>
            </w:pPr>
            <w:r/>
            <w:r>
              <w:rPr>
                <w:b w:val="0"/>
                <w:i w:val="0"/>
                <w:sz w:val="16"/>
              </w:rPr>
              <w:t>Pricing tiers and delivery zones added</w:t>
            </w:r>
          </w:p>
        </w:tc>
        <w:tc>
          <w:tcPr>
            <w:tcW w:type="dxa" w:w="2041"/>
          </w:tcPr>
          <w:p>
            <w:pPr>
              <w:spacing w:before="0" w:after="0"/>
            </w:pPr>
            <w:r/>
            <w:r>
              <w:rPr>
                <w:b w:val="0"/>
                <w:i w:val="0"/>
                <w:sz w:val="16"/>
              </w:rPr>
              <w:t>VP Sales</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01/01/2023</w:t>
            </w:r>
          </w:p>
        </w:tc>
        <w:tc>
          <w:tcPr>
            <w:tcW w:type="dxa" w:w="4876"/>
          </w:tcPr>
          <w:p>
            <w:pPr>
              <w:spacing w:before="0" w:after="0"/>
            </w:pPr>
            <w:r/>
            <w:r>
              <w:rPr>
                <w:b w:val="0"/>
                <w:i w:val="0"/>
                <w:sz w:val="16"/>
              </w:rPr>
              <w:t>Credit policy rewritten; delegated authorities table</w:t>
            </w:r>
          </w:p>
        </w:tc>
        <w:tc>
          <w:tcPr>
            <w:tcW w:type="dxa" w:w="2041"/>
          </w:tcPr>
          <w:p>
            <w:pPr>
              <w:spacing w:before="0" w:after="0"/>
            </w:pPr>
            <w:r/>
            <w:r>
              <w:rPr>
                <w:b w:val="0"/>
                <w:i w:val="0"/>
                <w:sz w:val="16"/>
              </w:rPr>
              <w:t>CFO</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01/07/2024</w:t>
            </w:r>
          </w:p>
        </w:tc>
        <w:tc>
          <w:tcPr>
            <w:tcW w:type="dxa" w:w="4876"/>
          </w:tcPr>
          <w:p>
            <w:pPr>
              <w:spacing w:before="0" w:after="0"/>
            </w:pPr>
            <w:r/>
            <w:r>
              <w:rPr>
                <w:b w:val="0"/>
                <w:i w:val="0"/>
                <w:sz w:val="16"/>
              </w:rPr>
              <w:t>Data protection notice revised; specimen application added</w:t>
            </w:r>
          </w:p>
        </w:tc>
        <w:tc>
          <w:tcPr>
            <w:tcW w:type="dxa" w:w="2041"/>
          </w:tcPr>
          <w:p>
            <w:pPr>
              <w:spacing w:before="0" w:after="0"/>
            </w:pPr>
            <w:r/>
            <w:r>
              <w:rPr>
                <w:b w:val="0"/>
                <w:i w:val="0"/>
                <w:sz w:val="16"/>
              </w:rPr>
              <w:t>Credit Manager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FM420083 adopted; industry list aligned with the customer system</w:t>
            </w:r>
          </w:p>
        </w:tc>
        <w:tc>
          <w:tcPr>
            <w:tcW w:type="dxa" w:w="2041"/>
          </w:tcPr>
          <w:p>
            <w:pPr>
              <w:spacing w:before="0" w:after="0"/>
            </w:pPr>
            <w:r/>
            <w:r>
              <w:rPr>
                <w:b w:val="0"/>
                <w:i w:val="0"/>
                <w:sz w:val="16"/>
              </w:rPr>
              <w:t>CFO</w:t>
            </w:r>
          </w:p>
        </w:tc>
      </w:tr>
    </w:tbl>
    <w:p>
      <w:pPr>
        <w:spacing w:before="0" w:after="80"/>
      </w:pPr>
    </w:p>
    <w:p>
      <w:pPr>
        <w:spacing w:before="160" w:after="60" w:line="276" w:lineRule="auto"/>
      </w:pPr>
      <w:r>
        <w:rPr>
          <w:b/>
          <w:i w:val="0"/>
          <w:sz w:val="21"/>
        </w:rPr>
        <w:t>10.4  Remittance details for payments to the Company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1701"/>
            <w:vAlign w:val="bottom"/>
            <w:shd w:val="clear" w:color="auto" w:fill="D9D9D9"/>
          </w:tcPr>
          <w:p>
            <w:pPr>
              <w:spacing w:before="0" w:after="0"/>
            </w:pPr>
            <w:r/>
            <w:r>
              <w:rPr>
                <w:b/>
                <w:i w:val="0"/>
                <w:sz w:val="14"/>
              </w:rPr>
              <w:t>Method</w:t>
            </w:r>
          </w:p>
        </w:tc>
        <w:tc>
          <w:tcPr>
            <w:tcW w:type="dxa" w:w="7710"/>
            <w:vAlign w:val="bottom"/>
            <w:shd w:val="clear" w:color="auto" w:fill="D9D9D9"/>
          </w:tcPr>
          <w:p>
            <w:pPr>
              <w:spacing w:before="0" w:after="0"/>
            </w:pPr>
            <w:r/>
            <w:r>
              <w:rPr>
                <w:b/>
                <w:i w:val="0"/>
                <w:sz w:val="14"/>
              </w:rPr>
              <w:t>Details</w:t>
            </w:r>
          </w:p>
        </w:tc>
      </w:tr>
      <w:tr>
        <w:tc>
          <w:tcPr>
            <w:tcW w:type="dxa" w:w="1701"/>
          </w:tcPr>
          <w:p>
            <w:pPr>
              <w:spacing w:before="0" w:after="0"/>
            </w:pPr>
            <w:r/>
            <w:r>
              <w:rPr>
                <w:b w:val="0"/>
                <w:i w:val="0"/>
                <w:sz w:val="16"/>
              </w:rPr>
              <w:t>ACH or wire</w:t>
            </w:r>
          </w:p>
        </w:tc>
        <w:tc>
          <w:tcPr>
            <w:tcW w:type="dxa" w:w="7710"/>
          </w:tcPr>
          <w:p>
            <w:pPr>
              <w:spacing w:before="0" w:after="0"/>
            </w:pPr>
            <w:r/>
            <w:r>
              <w:rPr>
                <w:b w:val="0"/>
                <w:i w:val="0"/>
                <w:sz w:val="16"/>
              </w:rPr>
              <w:t>Meridian Industrial Supply Inc., Lone Star Commerce Bank, Dallas; routing 111000999; account 4400 2210 87; reference the customer account number and invoice numbers</w:t>
            </w:r>
          </w:p>
        </w:tc>
      </w:tr>
      <w:tr>
        <w:tc>
          <w:tcPr>
            <w:tcW w:type="dxa" w:w="1701"/>
          </w:tcPr>
          <w:p>
            <w:pPr>
              <w:spacing w:before="0" w:after="0"/>
            </w:pPr>
            <w:r/>
            <w:r>
              <w:rPr>
                <w:b w:val="0"/>
                <w:i w:val="0"/>
                <w:sz w:val="16"/>
              </w:rPr>
              <w:t>Cheque</w:t>
            </w:r>
          </w:p>
        </w:tc>
        <w:tc>
          <w:tcPr>
            <w:tcW w:type="dxa" w:w="7710"/>
          </w:tcPr>
          <w:p>
            <w:pPr>
              <w:spacing w:before="0" w:after="0"/>
            </w:pPr>
            <w:r/>
            <w:r>
              <w:rPr>
                <w:b w:val="0"/>
                <w:i w:val="0"/>
                <w:sz w:val="16"/>
              </w:rPr>
              <w:t>Payable to Meridian Industrial Supply Inc., to the lockbox: P.O. Box 841200, Dallas, TX 75284-1200</w:t>
            </w:r>
          </w:p>
        </w:tc>
      </w:tr>
      <w:tr>
        <w:tc>
          <w:tcPr>
            <w:tcW w:type="dxa" w:w="1701"/>
          </w:tcPr>
          <w:p>
            <w:pPr>
              <w:spacing w:before="0" w:after="0"/>
            </w:pPr>
            <w:r/>
            <w:r>
              <w:rPr>
                <w:b w:val="0"/>
                <w:i w:val="0"/>
                <w:sz w:val="16"/>
              </w:rPr>
              <w:t>Card</w:t>
            </w:r>
          </w:p>
        </w:tc>
        <w:tc>
          <w:tcPr>
            <w:tcW w:type="dxa" w:w="7710"/>
          </w:tcPr>
          <w:p>
            <w:pPr>
              <w:spacing w:before="0" w:after="0"/>
            </w:pPr>
            <w:r/>
            <w:r>
              <w:rPr>
                <w:b w:val="0"/>
                <w:i w:val="0"/>
                <w:sz w:val="16"/>
              </w:rPr>
              <w:t>Through the web portal or by telephone to accounts receivable; surcharge applies above $10,000</w:t>
            </w:r>
          </w:p>
        </w:tc>
      </w:tr>
      <w:tr>
        <w:tc>
          <w:tcPr>
            <w:tcW w:type="dxa" w:w="1701"/>
          </w:tcPr>
          <w:p>
            <w:pPr>
              <w:spacing w:before="0" w:after="0"/>
            </w:pPr>
            <w:r/>
            <w:r>
              <w:rPr>
                <w:b w:val="0"/>
                <w:i w:val="0"/>
                <w:sz w:val="16"/>
              </w:rPr>
              <w:t>Remittance advice</w:t>
            </w:r>
          </w:p>
        </w:tc>
        <w:tc>
          <w:tcPr>
            <w:tcW w:type="dxa" w:w="7710"/>
          </w:tcPr>
          <w:p>
            <w:pPr>
              <w:spacing w:before="0" w:after="0"/>
            </w:pPr>
            <w:r/>
            <w:r>
              <w:rPr>
                <w:b w:val="0"/>
                <w:i w:val="0"/>
                <w:sz w:val="16"/>
              </w:rPr>
              <w:t>remittance@meridianindustrial.example — one advice per payment listing the invoices paid</w:t>
            </w:r>
          </w:p>
        </w:tc>
      </w:tr>
    </w:tbl>
    <w:p>
      <w:pPr>
        <w:spacing w:before="0" w:after="80"/>
      </w:pPr>
    </w:p>
    <w:p>
      <w:pPr>
        <w:spacing w:before="0" w:after="120" w:line="276" w:lineRule="auto"/>
      </w:pPr>
      <w:r>
        <w:rPr>
          <w:b w:val="0"/>
          <w:i/>
          <w:sz w:val="17"/>
        </w:rPr>
        <w:t>The Company will never notify a change of bank details by e-mail alone. Any such notice should be verified by telephone to accounts receivable on the number in the contact directory before payment is redirected.</w:t>
      </w:r>
    </w:p>
    <w:p>
      <w:pPr>
        <w:spacing w:before="160" w:after="60" w:line="276" w:lineRule="auto"/>
      </w:pPr>
      <w:r>
        <w:rPr>
          <w:b/>
          <w:i w:val="0"/>
          <w:sz w:val="21"/>
        </w:rPr>
        <w:t>10.5  Holiday schedule 2026</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Date</w:t>
            </w:r>
          </w:p>
        </w:tc>
        <w:tc>
          <w:tcPr>
            <w:tcW w:type="dxa" w:w="3175"/>
            <w:vAlign w:val="bottom"/>
            <w:shd w:val="clear" w:color="auto" w:fill="D9D9D9"/>
          </w:tcPr>
          <w:p>
            <w:pPr>
              <w:spacing w:before="0" w:after="0"/>
            </w:pPr>
            <w:r/>
            <w:r>
              <w:rPr>
                <w:b/>
                <w:i w:val="0"/>
                <w:sz w:val="14"/>
              </w:rPr>
              <w:t>Holiday</w:t>
            </w:r>
          </w:p>
        </w:tc>
        <w:tc>
          <w:tcPr>
            <w:tcW w:type="dxa" w:w="2268"/>
            <w:vAlign w:val="bottom"/>
            <w:shd w:val="clear" w:color="auto" w:fill="D9D9D9"/>
          </w:tcPr>
          <w:p>
            <w:pPr>
              <w:spacing w:before="0" w:after="0"/>
            </w:pPr>
            <w:r/>
            <w:r>
              <w:rPr>
                <w:b/>
                <w:i w:val="0"/>
                <w:sz w:val="14"/>
              </w:rPr>
              <w:t>Branches</w:t>
            </w:r>
          </w:p>
        </w:tc>
        <w:tc>
          <w:tcPr>
            <w:tcW w:type="dxa" w:w="2268"/>
            <w:vAlign w:val="bottom"/>
            <w:shd w:val="clear" w:color="auto" w:fill="D9D9D9"/>
          </w:tcPr>
          <w:p>
            <w:pPr>
              <w:spacing w:before="0" w:after="0"/>
            </w:pPr>
            <w:r/>
            <w:r>
              <w:rPr>
                <w:b/>
                <w:i w:val="0"/>
                <w:sz w:val="14"/>
              </w:rPr>
              <w:t>Deliveries</w:t>
            </w:r>
          </w:p>
        </w:tc>
      </w:tr>
      <w:tr>
        <w:tc>
          <w:tcPr>
            <w:tcW w:type="dxa" w:w="1701"/>
          </w:tcPr>
          <w:p>
            <w:pPr>
              <w:spacing w:before="0" w:after="0"/>
            </w:pPr>
            <w:r/>
            <w:r>
              <w:rPr>
                <w:b w:val="0"/>
                <w:i w:val="0"/>
                <w:sz w:val="16"/>
              </w:rPr>
              <w:t>1 January</w:t>
            </w:r>
          </w:p>
        </w:tc>
        <w:tc>
          <w:tcPr>
            <w:tcW w:type="dxa" w:w="3175"/>
          </w:tcPr>
          <w:p>
            <w:pPr>
              <w:spacing w:before="0" w:after="0"/>
            </w:pPr>
            <w:r/>
            <w:r>
              <w:rPr>
                <w:b w:val="0"/>
                <w:i w:val="0"/>
                <w:sz w:val="16"/>
              </w:rPr>
              <w:t>New Year's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19 January</w:t>
            </w:r>
          </w:p>
        </w:tc>
        <w:tc>
          <w:tcPr>
            <w:tcW w:type="dxa" w:w="3175"/>
          </w:tcPr>
          <w:p>
            <w:pPr>
              <w:spacing w:before="0" w:after="0"/>
            </w:pPr>
            <w:r/>
            <w:r>
              <w:rPr>
                <w:b w:val="0"/>
                <w:i w:val="0"/>
                <w:sz w:val="16"/>
              </w:rPr>
              <w:t>Martin Luther King Jr.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16 February</w:t>
            </w:r>
          </w:p>
        </w:tc>
        <w:tc>
          <w:tcPr>
            <w:tcW w:type="dxa" w:w="3175"/>
          </w:tcPr>
          <w:p>
            <w:pPr>
              <w:spacing w:before="0" w:after="0"/>
            </w:pPr>
            <w:r/>
            <w:r>
              <w:rPr>
                <w:b w:val="0"/>
                <w:i w:val="0"/>
                <w:sz w:val="16"/>
              </w:rPr>
              <w:t>Presidents' Day</w:t>
            </w:r>
          </w:p>
        </w:tc>
        <w:tc>
          <w:tcPr>
            <w:tcW w:type="dxa" w:w="2268"/>
          </w:tcPr>
          <w:p>
            <w:pPr>
              <w:spacing w:before="0" w:after="0"/>
            </w:pPr>
            <w:r/>
            <w:r>
              <w:rPr>
                <w:b w:val="0"/>
                <w:i w:val="0"/>
                <w:sz w:val="16"/>
              </w:rPr>
              <w:t>Open</w:t>
            </w:r>
          </w:p>
        </w:tc>
        <w:tc>
          <w:tcPr>
            <w:tcW w:type="dxa" w:w="2268"/>
          </w:tcPr>
          <w:p>
            <w:pPr>
              <w:spacing w:before="0" w:after="0"/>
            </w:pPr>
            <w:r/>
            <w:r>
              <w:rPr>
                <w:b w:val="0"/>
                <w:i w:val="0"/>
                <w:sz w:val="16"/>
              </w:rPr>
              <w:t>Normal</w:t>
            </w:r>
          </w:p>
        </w:tc>
      </w:tr>
      <w:tr>
        <w:tc>
          <w:tcPr>
            <w:tcW w:type="dxa" w:w="1701"/>
          </w:tcPr>
          <w:p>
            <w:pPr>
              <w:spacing w:before="0" w:after="0"/>
            </w:pPr>
            <w:r/>
            <w:r>
              <w:rPr>
                <w:b w:val="0"/>
                <w:i w:val="0"/>
                <w:sz w:val="16"/>
              </w:rPr>
              <w:t>3 April</w:t>
            </w:r>
          </w:p>
        </w:tc>
        <w:tc>
          <w:tcPr>
            <w:tcW w:type="dxa" w:w="3175"/>
          </w:tcPr>
          <w:p>
            <w:pPr>
              <w:spacing w:before="0" w:after="0"/>
            </w:pPr>
            <w:r/>
            <w:r>
              <w:rPr>
                <w:b w:val="0"/>
                <w:i w:val="0"/>
                <w:sz w:val="16"/>
              </w:rPr>
              <w:t>Good Friday</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May</w:t>
            </w:r>
          </w:p>
        </w:tc>
        <w:tc>
          <w:tcPr>
            <w:tcW w:type="dxa" w:w="3175"/>
          </w:tcPr>
          <w:p>
            <w:pPr>
              <w:spacing w:before="0" w:after="0"/>
            </w:pPr>
            <w:r/>
            <w:r>
              <w:rPr>
                <w:b w:val="0"/>
                <w:i w:val="0"/>
                <w:sz w:val="16"/>
              </w:rPr>
              <w:t>Memorial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 July</w:t>
            </w:r>
          </w:p>
        </w:tc>
        <w:tc>
          <w:tcPr>
            <w:tcW w:type="dxa" w:w="3175"/>
          </w:tcPr>
          <w:p>
            <w:pPr>
              <w:spacing w:before="0" w:after="0"/>
            </w:pPr>
            <w:r/>
            <w:r>
              <w:rPr>
                <w:b w:val="0"/>
                <w:i w:val="0"/>
                <w:sz w:val="16"/>
              </w:rPr>
              <w:t>Independence Day (observed)</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7 September</w:t>
            </w:r>
          </w:p>
        </w:tc>
        <w:tc>
          <w:tcPr>
            <w:tcW w:type="dxa" w:w="3175"/>
          </w:tcPr>
          <w:p>
            <w:pPr>
              <w:spacing w:before="0" w:after="0"/>
            </w:pPr>
            <w:r/>
            <w:r>
              <w:rPr>
                <w:b w:val="0"/>
                <w:i w:val="0"/>
                <w:sz w:val="16"/>
              </w:rPr>
              <w:t>Labor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26 November</w:t>
            </w:r>
          </w:p>
        </w:tc>
        <w:tc>
          <w:tcPr>
            <w:tcW w:type="dxa" w:w="3175"/>
          </w:tcPr>
          <w:p>
            <w:pPr>
              <w:spacing w:before="0" w:after="0"/>
            </w:pPr>
            <w:r/>
            <w:r>
              <w:rPr>
                <w:b w:val="0"/>
                <w:i w:val="0"/>
                <w:sz w:val="16"/>
              </w:rPr>
              <w:t>Thanksgiving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27 November</w:t>
            </w:r>
          </w:p>
        </w:tc>
        <w:tc>
          <w:tcPr>
            <w:tcW w:type="dxa" w:w="3175"/>
          </w:tcPr>
          <w:p>
            <w:pPr>
              <w:spacing w:before="0" w:after="0"/>
            </w:pPr>
            <w:r/>
            <w:r>
              <w:rPr>
                <w:b w:val="0"/>
                <w:i w:val="0"/>
                <w:sz w:val="16"/>
              </w:rPr>
              <w:t>Day after Thanksgiving</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24 December</w:t>
            </w:r>
          </w:p>
        </w:tc>
        <w:tc>
          <w:tcPr>
            <w:tcW w:type="dxa" w:w="3175"/>
          </w:tcPr>
          <w:p>
            <w:pPr>
              <w:spacing w:before="0" w:after="0"/>
            </w:pPr>
            <w:r/>
            <w:r>
              <w:rPr>
                <w:b w:val="0"/>
                <w:i w:val="0"/>
                <w:sz w:val="16"/>
              </w:rPr>
              <w:t>Christmas Eve</w:t>
            </w:r>
          </w:p>
        </w:tc>
        <w:tc>
          <w:tcPr>
            <w:tcW w:type="dxa" w:w="2268"/>
          </w:tcPr>
          <w:p>
            <w:pPr>
              <w:spacing w:before="0" w:after="0"/>
            </w:pPr>
            <w:r/>
            <w:r>
              <w:rPr>
                <w:b w:val="0"/>
                <w:i w:val="0"/>
                <w:sz w:val="16"/>
              </w:rPr>
              <w:t>Open until 12:00</w:t>
            </w:r>
          </w:p>
        </w:tc>
        <w:tc>
          <w:tcPr>
            <w:tcW w:type="dxa" w:w="2268"/>
          </w:tcPr>
          <w:p>
            <w:pPr>
              <w:spacing w:before="0" w:after="0"/>
            </w:pPr>
            <w:r/>
            <w:r>
              <w:rPr>
                <w:b w:val="0"/>
                <w:i w:val="0"/>
                <w:sz w:val="16"/>
              </w:rPr>
              <w:t>Morning only</w:t>
            </w:r>
          </w:p>
        </w:tc>
      </w:tr>
      <w:tr>
        <w:tc>
          <w:tcPr>
            <w:tcW w:type="dxa" w:w="1701"/>
          </w:tcPr>
          <w:p>
            <w:pPr>
              <w:spacing w:before="0" w:after="0"/>
            </w:pPr>
            <w:r/>
            <w:r>
              <w:rPr>
                <w:b w:val="0"/>
                <w:i w:val="0"/>
                <w:sz w:val="16"/>
              </w:rPr>
              <w:t>25 December</w:t>
            </w:r>
          </w:p>
        </w:tc>
        <w:tc>
          <w:tcPr>
            <w:tcW w:type="dxa" w:w="3175"/>
          </w:tcPr>
          <w:p>
            <w:pPr>
              <w:spacing w:before="0" w:after="0"/>
            </w:pPr>
            <w:r/>
            <w:r>
              <w:rPr>
                <w:b w:val="0"/>
                <w:i w:val="0"/>
                <w:sz w:val="16"/>
              </w:rPr>
              <w:t>Christmas Day</w:t>
            </w:r>
          </w:p>
        </w:tc>
        <w:tc>
          <w:tcPr>
            <w:tcW w:type="dxa" w:w="2268"/>
          </w:tcPr>
          <w:p>
            <w:pPr>
              <w:spacing w:before="0" w:after="0"/>
            </w:pPr>
            <w:r/>
            <w:r>
              <w:rPr>
                <w:b w:val="0"/>
                <w:i w:val="0"/>
                <w:sz w:val="16"/>
              </w:rPr>
              <w:t>Closed</w:t>
            </w:r>
          </w:p>
        </w:tc>
        <w:tc>
          <w:tcPr>
            <w:tcW w:type="dxa" w:w="2268"/>
          </w:tcPr>
          <w:p>
            <w:pPr>
              <w:spacing w:before="0" w:after="0"/>
            </w:pPr>
            <w:r/>
            <w:r>
              <w:rPr>
                <w:b w:val="0"/>
                <w:i w:val="0"/>
                <w:sz w:val="16"/>
              </w:rPr>
              <w:t>None</w:t>
            </w:r>
          </w:p>
        </w:tc>
      </w:tr>
      <w:tr>
        <w:tc>
          <w:tcPr>
            <w:tcW w:type="dxa" w:w="1701"/>
          </w:tcPr>
          <w:p>
            <w:pPr>
              <w:spacing w:before="0" w:after="0"/>
            </w:pPr>
            <w:r/>
            <w:r>
              <w:rPr>
                <w:b w:val="0"/>
                <w:i w:val="0"/>
                <w:sz w:val="16"/>
              </w:rPr>
              <w:t>31 December</w:t>
            </w:r>
          </w:p>
        </w:tc>
        <w:tc>
          <w:tcPr>
            <w:tcW w:type="dxa" w:w="3175"/>
          </w:tcPr>
          <w:p>
            <w:pPr>
              <w:spacing w:before="0" w:after="0"/>
            </w:pPr>
            <w:r/>
            <w:r>
              <w:rPr>
                <w:b w:val="0"/>
                <w:i w:val="0"/>
                <w:sz w:val="16"/>
              </w:rPr>
              <w:t>New Year's Eve</w:t>
            </w:r>
          </w:p>
        </w:tc>
        <w:tc>
          <w:tcPr>
            <w:tcW w:type="dxa" w:w="2268"/>
          </w:tcPr>
          <w:p>
            <w:pPr>
              <w:spacing w:before="0" w:after="0"/>
            </w:pPr>
            <w:r/>
            <w:r>
              <w:rPr>
                <w:b w:val="0"/>
                <w:i w:val="0"/>
                <w:sz w:val="16"/>
              </w:rPr>
              <w:t>Open until 15:00</w:t>
            </w:r>
          </w:p>
        </w:tc>
        <w:tc>
          <w:tcPr>
            <w:tcW w:type="dxa" w:w="2268"/>
          </w:tcPr>
          <w:p>
            <w:pPr>
              <w:spacing w:before="0" w:after="0"/>
            </w:pPr>
            <w:r/>
            <w:r>
              <w:rPr>
                <w:b w:val="0"/>
                <w:i w:val="0"/>
                <w:sz w:val="16"/>
              </w:rPr>
              <w:t>Normal</w:t>
            </w:r>
          </w:p>
        </w:tc>
      </w:tr>
    </w:tbl>
    <w:p>
      <w:pPr>
        <w:spacing w:before="0" w:after="80"/>
      </w:pPr>
    </w:p>
    <w:p>
      <w:pPr>
        <w:spacing w:before="160" w:after="60" w:line="276" w:lineRule="auto"/>
      </w:pPr>
      <w:r>
        <w:rPr>
          <w:b/>
          <w:i w:val="0"/>
          <w:sz w:val="21"/>
        </w:rPr>
        <w:t>10.6  Welcome letter and statement of account</w:t>
      </w:r>
    </w:p>
    <w:p>
      <w:pPr>
        <w:spacing w:before="0" w:after="80" w:line="276" w:lineRule="auto"/>
      </w:pPr>
      <w:r>
        <w:rPr>
          <w:b w:val="0"/>
          <w:i w:val="0"/>
          <w:sz w:val="21"/>
        </w:rPr>
        <w:t>When an account is opened, the Accounts team issues a welcome letter to the primary contact stating the account number, the credit limit, the payment term, the pricing tier, whether purchase orders are required, the account manager's name and direct line, and the portal registration instructions. The letter is the customer's record of the terms approved and should be kept with the purchasing file.</w:t>
      </w:r>
    </w:p>
    <w:p>
      <w:pPr>
        <w:spacing w:before="0" w:after="80" w:line="276" w:lineRule="auto"/>
      </w:pPr>
      <w:r>
        <w:rPr>
          <w:b w:val="0"/>
          <w:i w:val="0"/>
          <w:sz w:val="21"/>
        </w:rPr>
        <w:t>A statement of account is issued on the first working day of each month to the billing address and by e-mail to the primary contact. It lists every open invoice with its date, purchase order number, amount and due date; payments and credits applied during the month; the closing balance by age band (current, 1–30, 31–60, 61–90, over 90 days); and the credit limit and the available balance. Queries on a statement should be raised with accounts receivable within fourteen days.</w:t>
      </w:r>
    </w:p>
    <w:p>
      <w:pPr>
        <w:spacing w:before="0" w:after="80" w:line="276" w:lineRule="auto"/>
      </w:pPr>
      <w:r>
        <w:rPr>
          <w:b w:val="0"/>
          <w:i w:val="0"/>
          <w:sz w:val="21"/>
        </w:rPr>
        <w:t>This pack is issued to an applicant so that the application, the policy under which it is assessed and the supporting material are kept together. The credit application in Section 4 is the only part completed by the Applicant; all other sections are for reference.</w:t>
      </w:r>
    </w:p>
    <w:p>
      <w:pPr>
        <w:spacing w:before="0" w:after="80" w:line="276" w:lineRule="auto"/>
      </w:pPr>
      <w:r>
        <w:rPr>
          <w:b w:val="0"/>
          <w:i w:val="0"/>
          <w:sz w:val="21"/>
        </w:rPr>
        <w:t>End of pack.</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