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Supplement A -- Trade Compliance Manual for Account Holders</w:t>
      </w:r>
    </w:p>
    <w:p>
      <w:pPr>
        <w:spacing w:before="160" w:after="60" w:line="276" w:lineRule="auto"/>
      </w:pPr>
      <w:r>
        <w:rPr>
          <w:b/>
          <w:i w:val="0"/>
          <w:sz w:val="21"/>
        </w:rPr>
        <w:t>A.1  Purpose, Scope and Status of This Supplement</w:t>
      </w:r>
    </w:p>
    <w:p>
      <w:pPr>
        <w:spacing w:before="0" w:after="80" w:line="276" w:lineRule="auto"/>
      </w:pPr>
      <w:r>
        <w:rPr>
          <w:b w:val="0"/>
          <w:i w:val="0"/>
          <w:sz w:val="21"/>
        </w:rPr>
        <w:t>This Supplement sets out the trade compliance standards that apply to every holder of an account with the Company, in addition to the credit policy set out in Section 1 and the terms and conditions of sale set out in Section 6. It exists because a number of the instruments, hydraulic and pneumatic components and calibration services the Company supplies are capable of controlled or dual civilian and other use once combined with other equipment, and because the Company's own undertakings to its insurers, its bank and its principal suppliers require it to know that the businesses it invoices are not themselves a source of sanctions, bribery or product-compliance exposure. Nothing in this Supplement changes the payment terms or the credit limit recorded elsewhere in this pack; it is a standing condition attached to the account rather than a one-time declaration made at the point of application.</w:t>
      </w:r>
    </w:p>
    <w:p>
      <w:pPr>
        <w:spacing w:before="0" w:after="80" w:line="276" w:lineRule="auto"/>
      </w:pPr>
      <w:r>
        <w:rPr>
          <w:b w:val="0"/>
          <w:i w:val="0"/>
          <w:sz w:val="21"/>
        </w:rPr>
        <w:t>The Supplement binds the account holder named in Section 4, its officers and any employee authorised to place or receive orders against the account, and, where the account holder resells, integrates or redistributes goods obtained from the Company, every onward transaction in that chain that the account holder directs or controls. An account holder that purchases solely for its own use should read the sections on export licensing and on restricted-party screening as applying to any loan, transfer, disposal or export of the goods outside the ordinary course of using them on its own premises, rather than to the ordinary receipt and consumption of stock. An account holder that purchases for resale, whatever the commercial arrangement under which it does so, should read every section of this Supplement as applying to each sale it makes downstream, not only to its dealings with the Company.</w:t>
      </w:r>
    </w:p>
    <w:p>
      <w:pPr>
        <w:spacing w:before="0" w:after="80" w:line="276" w:lineRule="auto"/>
      </w:pPr>
      <w:r>
        <w:rPr>
          <w:b w:val="0"/>
          <w:i w:val="0"/>
          <w:sz w:val="21"/>
        </w:rPr>
        <w:t>This Supplement is reviewed by the Company's compliance function once a year and whenever a change in applicable law makes an interim revision necessary; the version in force is the one bound into the current onboarding pack, and a superseded version is not reissued to an existing account holder unless a change materially affects it. An account holder that cannot meet a requirement described below should raise the matter with its account manager before placing a further order rather than after a shipment has already been stopped; in the compliance function's experience, most of the delay described in the sections that follow arises from a requirement being addressed for the first time under the pressure of an urgent order.</w:t>
      </w:r>
    </w:p>
    <w:p>
      <w:pPr>
        <w:spacing w:before="0" w:after="80" w:line="276" w:lineRule="auto"/>
      </w:pPr>
      <w:r>
        <w:rPr>
          <w:b w:val="0"/>
          <w:i w:val="0"/>
          <w:sz w:val="21"/>
        </w:rPr>
        <w:t>In this Supplement, "goods" includes any product, part, tool, die, packaging component or documentation supplied by the Company, whether purchased, consigned or supplied for a service such as calibration or kitting; "account holder" includes an account held under any special commercial arrangement described elsewhere in this pack; and a reference to a section number without more is a reference to a section of this Supplement. Where this Supplement and another section of the pack address the same subject in different terms, for example Section 1.11 and Section A.3 below, the two are read together, and the more specific obligation applies to the more specific circumstance it describes.</w:t>
      </w:r>
    </w:p>
    <w:p>
      <w:pPr>
        <w:spacing w:before="0" w:after="80" w:line="276" w:lineRule="auto"/>
      </w:pPr>
      <w:r>
        <w:rPr>
          <w:b w:val="0"/>
          <w:i w:val="0"/>
          <w:sz w:val="21"/>
        </w:rPr>
        <w:t>This Supplement does not itself insure the Company against a loss caused by an account holder's breach, and the credit insurance described in Section 1.12 does not extend to a loss arising from a sanctions violation, a bribery finding, or a false compliance declaration; a loss of that kind is recovered from the account holder or its guarantor under the ordinary terms of sale rather than being treated as a bad debt for insurance purposes. An account holder should bear this distinction in mind when weighing the practical consequence of a compliance failure against what might otherwise be assumed to be an insured commercial risk.</w:t>
      </w:r>
    </w:p>
    <w:p>
      <w:pPr>
        <w:spacing w:before="160" w:after="60" w:line="276" w:lineRule="auto"/>
      </w:pPr>
      <w:r>
        <w:rPr>
          <w:b/>
          <w:i w:val="0"/>
          <w:sz w:val="21"/>
        </w:rPr>
        <w:t>A.2  Export Control Classification and Licensing Obligations</w:t>
      </w:r>
    </w:p>
    <w:p>
      <w:pPr>
        <w:spacing w:before="0" w:after="80" w:line="276" w:lineRule="auto"/>
      </w:pPr>
      <w:r>
        <w:rPr>
          <w:b w:val="0"/>
          <w:i w:val="0"/>
          <w:sz w:val="21"/>
        </w:rPr>
        <w:t>Certain products in the Company's range are classified for export control purposes because of their precision, their operating range or the industries in which they are typically deployed. Pressure and flow instrumentation capable of fine calibration, cylinders and valves rated for high pressure service, and certain calibration reference standards can fall within a control classification even though they are sold domestically for ordinary industrial use. The Company classifies the products it manufactures and passes through the classification given by the original manufacturer for products it distributes; that classification, where one applies, is stated on the packing list and on the certificate of conformity issued with the shipment. An account holder that intends to export, re-export, tranship or otherwise send goods obtained from the Company outside the country of delivery is responsible for determining, independently of the Company's classification, whether a licence or other government authorisation is required for that onward movement.</w:t>
      </w:r>
    </w:p>
    <w:p>
      <w:pPr>
        <w:spacing w:before="0" w:after="80" w:line="276" w:lineRule="auto"/>
      </w:pPr>
      <w:r>
        <w:rPr>
          <w:b w:val="0"/>
          <w:i w:val="0"/>
          <w:sz w:val="21"/>
        </w:rPr>
        <w:t>A licence obligation can arise not only from the classification of the goods but from the destination, the end use or the identity of the end user. Movement toward an embargoed or comprehensively sanctioned destination, use in the development or production of nuclear, chemical or biological weapons or of missile delivery systems, and supply to a military end user or end use restricted by the applicable government are the most common triggers, and they can apply even to goods that carry no control classification of their own. An account holder that becomes aware, or has reason to believe, that goods purchased from the Company are intended for any of these uses must not complete the transaction and must notify the Company's compliance function immediately; continuing with an order after such knowledge arises is treated as a breach of this Supplement independently of any breach of the applicable export law.</w:t>
      </w:r>
    </w:p>
    <w:p>
      <w:pPr>
        <w:spacing w:before="0" w:after="60" w:line="276" w:lineRule="auto"/>
        <w:ind w:left="454" w:hanging="454"/>
      </w:pPr>
      <w:r>
        <w:rPr>
          <w:b w:val="0"/>
          <w:i w:val="0"/>
          <w:sz w:val="21"/>
        </w:rPr>
        <w:t>1.</w:t>
        <w:tab/>
        <w:t>Development, production, stockpiling or use of nuclear, chemical or biological weapons, or of the means to deliver them.</w:t>
      </w:r>
    </w:p>
    <w:p>
      <w:pPr>
        <w:spacing w:before="0" w:after="60" w:line="276" w:lineRule="auto"/>
        <w:ind w:left="454" w:hanging="454"/>
      </w:pPr>
      <w:r>
        <w:rPr>
          <w:b w:val="0"/>
          <w:i w:val="0"/>
          <w:sz w:val="21"/>
        </w:rPr>
        <w:t>2.</w:t>
        <w:tab/>
        <w:t>Support of a military end user or military end use in a destination subject to a military end-use or end-user control.</w:t>
      </w:r>
    </w:p>
    <w:p>
      <w:pPr>
        <w:spacing w:before="0" w:after="60" w:line="276" w:lineRule="auto"/>
        <w:ind w:left="454" w:hanging="454"/>
      </w:pPr>
      <w:r>
        <w:rPr>
          <w:b w:val="0"/>
          <w:i w:val="0"/>
          <w:sz w:val="21"/>
        </w:rPr>
        <w:t>3.</w:t>
        <w:tab/>
        <w:t>Resale or transfer to a party listed on a restricted-party list described in Section A.3 below, whether directly or through an intermediary.</w:t>
      </w:r>
    </w:p>
    <w:p>
      <w:pPr>
        <w:spacing w:before="0" w:after="60" w:line="276" w:lineRule="auto"/>
        <w:ind w:left="454" w:hanging="454"/>
      </w:pPr>
      <w:r>
        <w:rPr>
          <w:b w:val="0"/>
          <w:i w:val="0"/>
          <w:sz w:val="21"/>
        </w:rPr>
        <w:t>4.</w:t>
        <w:tab/>
        <w:t>Export or re-export to a country, region or vessel subject to comprehensive trade sanctions, without the licence or authorisation such trade requires.</w:t>
      </w:r>
    </w:p>
    <w:p>
      <w:pPr>
        <w:spacing w:before="0" w:after="60" w:line="276" w:lineRule="auto"/>
        <w:ind w:left="454" w:hanging="454"/>
      </w:pPr>
      <w:r>
        <w:rPr>
          <w:b w:val="0"/>
          <w:i w:val="0"/>
          <w:sz w:val="21"/>
        </w:rPr>
        <w:t>5.</w:t>
        <w:tab/>
        <w:t>Use in the design, testing or production of unmanned aerial systems or missile technology beyond the account holder's stated civilian application.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Trigger</w:t>
            </w:r>
          </w:p>
        </w:tc>
        <w:tc>
          <w:tcPr>
            <w:tcW w:type="dxa" w:w="3969"/>
            <w:vAlign w:val="bottom"/>
            <w:shd w:val="clear" w:color="auto" w:fill="D9D9D9"/>
          </w:tcPr>
          <w:p>
            <w:pPr>
              <w:spacing w:before="0" w:after="0"/>
            </w:pPr>
            <w:r/>
            <w:r>
              <w:rPr>
                <w:b/>
                <w:i w:val="0"/>
                <w:sz w:val="14"/>
              </w:rPr>
              <w:t>What the account holder must do</w:t>
            </w:r>
          </w:p>
        </w:tc>
        <w:tc>
          <w:tcPr>
            <w:tcW w:type="dxa" w:w="2381"/>
            <w:vAlign w:val="bottom"/>
            <w:shd w:val="clear" w:color="auto" w:fill="D9D9D9"/>
          </w:tcPr>
          <w:p>
            <w:pPr>
              <w:spacing w:before="0" w:after="0"/>
            </w:pPr>
            <w:r/>
            <w:r>
              <w:rPr>
                <w:b/>
                <w:i w:val="0"/>
                <w:sz w:val="14"/>
              </w:rPr>
              <w:t>When</w:t>
            </w:r>
          </w:p>
        </w:tc>
      </w:tr>
      <w:tr>
        <w:tc>
          <w:tcPr>
            <w:tcW w:type="dxa" w:w="3061"/>
          </w:tcPr>
          <w:p>
            <w:pPr>
              <w:spacing w:before="0" w:after="0"/>
            </w:pPr>
            <w:r/>
            <w:r>
              <w:rPr>
                <w:b w:val="0"/>
                <w:i w:val="0"/>
                <w:sz w:val="16"/>
              </w:rPr>
              <w:t>Reexport or transhipment to a third country</w:t>
            </w:r>
          </w:p>
        </w:tc>
        <w:tc>
          <w:tcPr>
            <w:tcW w:type="dxa" w:w="3969"/>
          </w:tcPr>
          <w:p>
            <w:pPr>
              <w:spacing w:before="0" w:after="0"/>
            </w:pPr>
            <w:r/>
            <w:r>
              <w:rPr>
                <w:b w:val="0"/>
                <w:i w:val="0"/>
                <w:sz w:val="16"/>
              </w:rPr>
              <w:t>Confirm the destination is not subject to sanctions or an end-use control before shipping; retain the shipping documents.</w:t>
            </w:r>
          </w:p>
        </w:tc>
        <w:tc>
          <w:tcPr>
            <w:tcW w:type="dxa" w:w="2381"/>
          </w:tcPr>
          <w:p>
            <w:pPr>
              <w:spacing w:before="0" w:after="0"/>
            </w:pPr>
            <w:r/>
            <w:r>
              <w:rPr>
                <w:b w:val="0"/>
                <w:i w:val="0"/>
                <w:sz w:val="16"/>
              </w:rPr>
              <w:t>Before the onward shipment leaves the account holder's custody.</w:t>
            </w:r>
          </w:p>
        </w:tc>
      </w:tr>
      <w:tr>
        <w:tc>
          <w:tcPr>
            <w:tcW w:type="dxa" w:w="3061"/>
          </w:tcPr>
          <w:p>
            <w:pPr>
              <w:spacing w:before="0" w:after="0"/>
            </w:pPr>
            <w:r/>
            <w:r>
              <w:rPr>
                <w:b w:val="0"/>
                <w:i w:val="0"/>
                <w:sz w:val="16"/>
              </w:rPr>
              <w:t>Access to controlled technical data by a foreign national employee or contractor</w:t>
            </w:r>
          </w:p>
        </w:tc>
        <w:tc>
          <w:tcPr>
            <w:tcW w:type="dxa" w:w="3969"/>
          </w:tcPr>
          <w:p>
            <w:pPr>
              <w:spacing w:before="0" w:after="0"/>
            </w:pPr>
            <w:r/>
            <w:r>
              <w:rPr>
                <w:b w:val="0"/>
                <w:i w:val="0"/>
                <w:sz w:val="16"/>
              </w:rPr>
              <w:t>Confirm the individual's nationality and country of most recent residence against any licence exception the goods rely on.</w:t>
            </w:r>
          </w:p>
        </w:tc>
        <w:tc>
          <w:tcPr>
            <w:tcW w:type="dxa" w:w="2381"/>
          </w:tcPr>
          <w:p>
            <w:pPr>
              <w:spacing w:before="0" w:after="0"/>
            </w:pPr>
            <w:r/>
            <w:r>
              <w:rPr>
                <w:b w:val="0"/>
                <w:i w:val="0"/>
                <w:sz w:val="16"/>
              </w:rPr>
              <w:t>Before technical data, drawings or calibration procedures are shared internally.</w:t>
            </w:r>
          </w:p>
        </w:tc>
      </w:tr>
      <w:tr>
        <w:tc>
          <w:tcPr>
            <w:tcW w:type="dxa" w:w="3061"/>
          </w:tcPr>
          <w:p>
            <w:pPr>
              <w:spacing w:before="0" w:after="0"/>
            </w:pPr>
            <w:r/>
            <w:r>
              <w:rPr>
                <w:b w:val="0"/>
                <w:i w:val="0"/>
                <w:sz w:val="16"/>
              </w:rPr>
              <w:t>Order quantity, specification or delivery pattern inconsistent with the stated business activity</w:t>
            </w:r>
          </w:p>
        </w:tc>
        <w:tc>
          <w:tcPr>
            <w:tcW w:type="dxa" w:w="3969"/>
          </w:tcPr>
          <w:p>
            <w:pPr>
              <w:spacing w:before="0" w:after="0"/>
            </w:pPr>
            <w:r/>
            <w:r>
              <w:rPr>
                <w:b w:val="0"/>
                <w:i w:val="0"/>
                <w:sz w:val="16"/>
              </w:rPr>
              <w:t>Provide a short written explanation to the account manager on request.</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Request to ship to a freight forwarder, consolidator or address that differs from the billing or an approved shipping address</w:t>
            </w:r>
          </w:p>
        </w:tc>
        <w:tc>
          <w:tcPr>
            <w:tcW w:type="dxa" w:w="3969"/>
          </w:tcPr>
          <w:p>
            <w:pPr>
              <w:spacing w:before="0" w:after="0"/>
            </w:pPr>
            <w:r/>
            <w:r>
              <w:rPr>
                <w:b w:val="0"/>
                <w:i w:val="0"/>
                <w:sz w:val="16"/>
              </w:rPr>
              <w:t>Confirm the ultimate consignee and end user in writing.</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Any of the prohibited end uses listed above becomes known or suspected</w:t>
            </w:r>
          </w:p>
        </w:tc>
        <w:tc>
          <w:tcPr>
            <w:tcW w:type="dxa" w:w="3969"/>
          </w:tcPr>
          <w:p>
            <w:pPr>
              <w:spacing w:before="0" w:after="0"/>
            </w:pPr>
            <w:r/>
            <w:r>
              <w:rPr>
                <w:b w:val="0"/>
                <w:i w:val="0"/>
                <w:sz w:val="16"/>
              </w:rPr>
              <w:t>Stop the transaction and notify the Company's compliance function.</w:t>
            </w:r>
          </w:p>
        </w:tc>
        <w:tc>
          <w:tcPr>
            <w:tcW w:type="dxa" w:w="2381"/>
          </w:tcPr>
          <w:p>
            <w:pPr>
              <w:spacing w:before="0" w:after="0"/>
            </w:pPr>
            <w:r/>
            <w:r>
              <w:rPr>
                <w:b w:val="0"/>
                <w:i w:val="0"/>
                <w:sz w:val="16"/>
              </w:rPr>
              <w:t>Immediately.</w:t>
            </w:r>
          </w:p>
        </w:tc>
      </w:tr>
    </w:tbl>
    <w:p>
      <w:pPr>
        <w:spacing w:before="0" w:after="80"/>
      </w:pPr>
    </w:p>
    <w:p>
      <w:pPr>
        <w:spacing w:before="0" w:after="80" w:line="276" w:lineRule="auto"/>
      </w:pPr>
      <w:r>
        <w:rPr>
          <w:b w:val="0"/>
          <w:i w:val="0"/>
          <w:sz w:val="21"/>
        </w:rPr>
        <w:t>A shipment routed first to a domestic freight consolidator or a third-party logistics warehouse before its final international movement is treated, for the purposes of this section, as a step in the same export rather than as a separate domestic sale; an account holder that uses this kind of routing should tell the Company at the time of order so that the correct classification and any licence exception can be recorded against the shipment from the outset rather than reconstructed later if a question arises.</w:t>
      </w:r>
    </w:p>
    <w:p>
      <w:pPr>
        <w:spacing w:before="0" w:after="80" w:line="276" w:lineRule="auto"/>
      </w:pPr>
      <w:r>
        <w:rPr>
          <w:b w:val="0"/>
          <w:i w:val="0"/>
          <w:sz w:val="21"/>
        </w:rPr>
        <w:t>Where a product's classification allows the transaction to proceed under a licence exception rather than under a specific licence, the packing list identifies the exception relied on so that the account holder can confirm its own onward transaction still qualifies for it; a licence exception available to the Company's sale does not automatically extend to a different destination, end user or end use further down the chain, and the account holder should not assume that it does without checking the terms of the exception itself.</w:t>
      </w:r>
    </w:p>
    <w:p>
      <w:pPr>
        <w:spacing w:before="0" w:after="80" w:line="276" w:lineRule="auto"/>
      </w:pPr>
      <w:r>
        <w:rPr>
          <w:b w:val="0"/>
          <w:i w:val="0"/>
          <w:sz w:val="21"/>
        </w:rPr>
        <w:t>An account holder that regularly exports goods bought from the Company, or that maintains its own export compliance programme, may ask the Company's compliance function to confirm the classification of a specific product line in writing before placing a large or recurring order; this confirmation is provided on a best-efforts basis, is limited to the classification the Company itself relies on, and does not extend to advising the account holder on the licensing requirements of the destination country.</w:t>
      </w:r>
    </w:p>
    <w:p>
      <w:pPr>
        <w:spacing w:before="0" w:after="80" w:line="276" w:lineRule="auto"/>
      </w:pPr>
      <w:r>
        <w:rPr>
          <w:b w:val="0"/>
          <w:i w:val="0"/>
          <w:sz w:val="21"/>
        </w:rPr>
        <w:t>An account holder that operates its own compliance programme is encouraged, though not required, to name a single point of contact for export matters to the Company's compliance function; doing so speeds the review of an advance classification request and avoids the confirmation being sent to a general order-processing address where it may not reach the person who needs it. The Company keeps a record of the point of contact named in this way against the account, separately from the ordering contacts recorded under Section 4.</w:t>
      </w:r>
    </w:p>
    <w:p>
      <w:pPr>
        <w:spacing w:before="0" w:after="80" w:line="276" w:lineRule="auto"/>
      </w:pPr>
      <w:r>
        <w:rPr>
          <w:b w:val="0"/>
          <w:i w:val="0"/>
          <w:sz w:val="21"/>
        </w:rPr>
        <w:t>Where an account holder's own staff regularly place export orders, a short annual briefing from the account holder's own compliance or legal function on the restrictions in this section is a reasonable and proportionate step for a business of typical size in this sector; the Company does not mandate the form the briefing takes, and does not ask to see records of it except where an audit under Section A.6 below has already been triggered for another reason.</w:t>
      </w:r>
    </w:p>
    <w:p>
      <w:pPr>
        <w:spacing w:before="0" w:after="80" w:line="276" w:lineRule="auto"/>
      </w:pPr>
      <w:r>
        <w:rPr>
          <w:b w:val="0"/>
          <w:i w:val="0"/>
          <w:sz w:val="21"/>
        </w:rPr>
        <w:t>These obligations sit alongside, and do not replace, any export licence, permit or authorisation that the account holder must itself hold to carry on its own business, including where the account holder is a manufacturer that incorporates goods bought from the Company into its own products before export. The Company's classification information is provided to help the account holder make its own determination; it is not legal advice, and an account holder that is unsure whether a licence is required should obtain its own advice or apply to the relevant government agency for a classification or advisory opinion before shipping.</w:t>
      </w:r>
    </w:p>
    <w:p>
      <w:pPr>
        <w:spacing w:before="160" w:after="60" w:line="276" w:lineRule="auto"/>
      </w:pPr>
      <w:r>
        <w:rPr>
          <w:b/>
          <w:i w:val="0"/>
          <w:sz w:val="21"/>
        </w:rPr>
        <w:t>A.3  Restricted-Party Screening and Match Handling</w:t>
      </w:r>
    </w:p>
    <w:p>
      <w:pPr>
        <w:spacing w:before="0" w:after="80" w:line="276" w:lineRule="auto"/>
      </w:pPr>
      <w:r>
        <w:rPr>
          <w:b w:val="0"/>
          <w:i w:val="0"/>
          <w:sz w:val="21"/>
        </w:rPr>
        <w:t>Every account is screened before it is opened, as described in Section 1.11, and every account is re-screened on each anniversary and whenever a change of ownership, control or address is notified. Between those points, the Company also screens active orders against updates to the consolidated lists it relies on, so that a party added to a list after the account was opened is caught before further goods are shipped rather than only at the next annual review. This section describes what happens when that ongoing screening produces a possible match, and it is separate from, and in addition to, the screening the account holder is itself expected to carry out on its own customers where it resells.</w:t>
      </w:r>
    </w:p>
    <w:p>
      <w:pPr>
        <w:spacing w:before="0" w:after="80" w:line="276" w:lineRule="auto"/>
      </w:pPr>
      <w:r>
        <w:rPr>
          <w:b w:val="0"/>
          <w:i w:val="0"/>
          <w:sz w:val="21"/>
        </w:rPr>
        <w:t>A possible match does not mean the order is cancelled outright. The order is placed on hold, the account holder is not told which list produced the match or why, and the matter is referred to the compliance function for a documented comparison of the identifying details on the order against the details on the list entry. Most holds are resolved as false positives within a small number of business days, most often because the name on the order is a common name shared with a listed party but the address, date of birth, place of registration or other identifying detail does not correspond. A false positive is cleared, the hold is released, and the order proceeds without further reference to the account holder beyond the delay itself.</w:t>
      </w:r>
    </w:p>
    <w:p>
      <w:pPr>
        <w:spacing w:before="0" w:after="60" w:line="276" w:lineRule="auto"/>
        <w:ind w:left="454" w:hanging="454"/>
      </w:pPr>
      <w:r>
        <w:rPr>
          <w:b w:val="0"/>
          <w:i w:val="0"/>
          <w:sz w:val="21"/>
        </w:rPr>
        <w:t>1.</w:t>
        <w:tab/>
        <w:t>The order and any related open orders on the account are held; goods already in transit are recalled if this is still possible.</w:t>
      </w:r>
    </w:p>
    <w:p>
      <w:pPr>
        <w:spacing w:before="0" w:after="60" w:line="276" w:lineRule="auto"/>
        <w:ind w:left="454" w:hanging="454"/>
      </w:pPr>
      <w:r>
        <w:rPr>
          <w:b w:val="0"/>
          <w:i w:val="0"/>
          <w:sz w:val="21"/>
        </w:rPr>
        <w:t>2.</w:t>
        <w:tab/>
        <w:t>The compliance function documents the comparison against the list entry and, where the outcome is not clear, escalates to outside counsel or to the issuing agency for guidance.</w:t>
      </w:r>
    </w:p>
    <w:p>
      <w:pPr>
        <w:spacing w:before="0" w:after="60" w:line="276" w:lineRule="auto"/>
        <w:ind w:left="454" w:hanging="454"/>
      </w:pPr>
      <w:r>
        <w:rPr>
          <w:b w:val="0"/>
          <w:i w:val="0"/>
          <w:sz w:val="21"/>
        </w:rPr>
        <w:t>3.</w:t>
        <w:tab/>
        <w:t>Where the match is confirmed, the account is suspended, the transaction is not completed, and any funds already received for it are handled as the applicable law requires rather than simply refunded in the ordinary course.</w:t>
      </w:r>
    </w:p>
    <w:p>
      <w:pPr>
        <w:spacing w:before="0" w:after="60" w:line="276" w:lineRule="auto"/>
        <w:ind w:left="454" w:hanging="454"/>
      </w:pPr>
      <w:r>
        <w:rPr>
          <w:b w:val="0"/>
          <w:i w:val="0"/>
          <w:sz w:val="21"/>
        </w:rPr>
        <w:t>4.</w:t>
        <w:tab/>
        <w:t>A report is made to the relevant government agency where the applicable regulation requires one; the Company does not disclose to the account holder that a report has been made.</w:t>
      </w:r>
    </w:p>
    <w:p>
      <w:pPr>
        <w:spacing w:before="0" w:after="60" w:line="276" w:lineRule="auto"/>
        <w:ind w:left="454" w:hanging="454"/>
      </w:pPr>
      <w:r>
        <w:rPr>
          <w:b w:val="0"/>
          <w:i w:val="0"/>
          <w:sz w:val="21"/>
        </w:rPr>
        <w:t>5.</w:t>
        <w:tab/>
        <w:t>The account is not reopened without a further review by the compliance function, which may require updated ownership and control information before an order can be accepted again.</w:t>
      </w:r>
    </w:p>
    <w:p>
      <w:pPr>
        <w:spacing w:before="0" w:after="80" w:line="276" w:lineRule="auto"/>
      </w:pPr>
      <w:r>
        <w:rPr>
          <w:b w:val="0"/>
          <w:i w:val="0"/>
          <w:sz w:val="21"/>
        </w:rPr>
        <w:t>The Company is not able to explain to an account holder why an order has been placed on hold while the review is in progress, and an account holder should not treat a hold as evidence of wrongdoing on its part; the great majority of holds arise from name similarity rather than an actual match. An account holder that needs to know whether an outstanding order will ship in time for a committed date should ask its account manager for a status update rather than for the reason for the hold, since the reason cannot be given even where it would be reassuring to share it.</w:t>
      </w:r>
    </w:p>
    <w:p>
      <w:pPr>
        <w:spacing w:before="0" w:after="80" w:line="276" w:lineRule="auto"/>
      </w:pPr>
      <w:r>
        <w:rPr>
          <w:b w:val="0"/>
          <w:i w:val="0"/>
          <w:sz w:val="21"/>
        </w:rPr>
        <w:t>Where a review cannot be completed within the period described above, most often because the identifying information on the order is incomplete or because the compliance function has referred the matter to outside counsel or to a government agency for guidance, the hold continues until the review is concluded, and the Company does not accept liability for a delivery commitment missed because of a hold conducted under this section. An account holder facing a real risk of loss from an extended hold should say so, since in some cases the part of an order not affected by the review can be released separately from the part that is.</w:t>
      </w:r>
    </w:p>
    <w:p>
      <w:pPr>
        <w:spacing w:before="0" w:after="80" w:line="276" w:lineRule="auto"/>
      </w:pPr>
      <w:r>
        <w:rPr>
          <w:b w:val="0"/>
          <w:i w:val="0"/>
          <w:sz w:val="21"/>
        </w:rPr>
        <w:t>An account holder that believes a confirmed match was wrongly decided, for example because it holds evidence of a correction to the underlying list that the compliance function had not yet seen, may ask for the decision to be reconsidered; the request is made in writing to the compliance function and is reviewed by a person who did not make the original decision. Reconsideration does not reopen the account while it is pending, and a request that raises no new information is not treated as a basis to keep reopening a closed review.</w:t>
      </w:r>
    </w:p>
    <w:p>
      <w:pPr>
        <w:spacing w:before="0" w:after="80" w:line="276" w:lineRule="auto"/>
      </w:pPr>
      <w:r>
        <w:rPr>
          <w:b w:val="0"/>
          <w:i w:val="0"/>
          <w:sz w:val="21"/>
        </w:rPr>
        <w:t>A hold placed under this section is not an invoice dispute, a returns matter or a service complaint for the purposes of Section 9, and raising the hold through that procedure does not speed its resolution; an account holder that has both a hold under this section and an unrelated dispute under Section 9 open at the same time should expect the two to be handled by different teams on different timescales.</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is to notify you that one or more orders on your account have been placed on hold pending a routine compliance review. This step is procedural and does not by itself indicate that any problem has been found with your account or with any individual named on it.</w:t>
      </w:r>
    </w:p>
    <w:p>
      <w:pPr>
        <w:spacing w:before="0" w:after="120" w:line="276" w:lineRule="auto"/>
      </w:pPr>
      <w:r>
        <w:rPr>
          <w:b w:val="0"/>
          <w:i w:val="0"/>
          <w:sz w:val="21"/>
        </w:rPr>
        <w:t>While the hold is in place, no further shipments will be released against the orders concerned, and any related purchase order acknowledgements should be treated as provisional. Our aim is to complete the review within a small number of business days; if it is likely to take longer, your account manager will let you know.</w:t>
      </w:r>
    </w:p>
    <w:p>
      <w:pPr>
        <w:spacing w:before="0" w:after="120" w:line="276" w:lineRule="auto"/>
      </w:pPr>
      <w:r>
        <w:rPr>
          <w:b w:val="0"/>
          <w:i w:val="0"/>
          <w:sz w:val="21"/>
        </w:rPr>
        <w:t>We are not able to disclose the specific list or basis under review while it is open. If the review concludes without a finding, the hold will be released and the orders will proceed in the ordinary course without further action on your part.</w:t>
      </w:r>
    </w:p>
    <w:p>
      <w:pPr>
        <w:spacing w:before="0" w:after="120" w:line="276" w:lineRule="auto"/>
      </w:pPr>
      <w:r>
        <w:rPr>
          <w:b w:val="0"/>
          <w:i w:val="0"/>
          <w:sz w:val="21"/>
        </w:rPr>
        <w:t>If you have a delivery commitment that depends on the orders held, please tell your account manager so that the urgency can be taken into account.</w:t>
      </w:r>
    </w:p>
    <w:p>
      <w:pPr>
        <w:spacing w:before="0" w:after="120" w:line="276" w:lineRule="auto"/>
      </w:pPr>
      <w:r>
        <w:rPr>
          <w:b w:val="0"/>
          <w:i w:val="0"/>
          <w:sz w:val="21"/>
        </w:rPr>
        <w:t>Yours faithfully,</w:t>
      </w:r>
    </w:p>
    <w:p>
      <w:pPr>
        <w:spacing w:before="0" w:after="120" w:line="276" w:lineRule="auto"/>
      </w:pPr>
      <w:r>
        <w:rPr>
          <w:b w:val="0"/>
          <w:i w:val="0"/>
          <w:sz w:val="21"/>
        </w:rPr>
        <w:t>Han Ji-woo</w:t>
      </w:r>
    </w:p>
    <w:p>
      <w:pPr>
        <w:spacing w:before="0" w:after="120" w:line="276" w:lineRule="auto"/>
      </w:pPr>
      <w:r>
        <w:rPr>
          <w:b w:val="0"/>
          <w:i w:val="0"/>
          <w:sz w:val="21"/>
        </w:rPr>
        <w:t>Trade Compliance Officer</w:t>
      </w:r>
    </w:p>
    <w:p>
      <w:pPr>
        <w:spacing w:before="160" w:after="60" w:line="276" w:lineRule="auto"/>
      </w:pPr>
      <w:r>
        <w:rPr>
          <w:b/>
          <w:i w:val="0"/>
          <w:sz w:val="21"/>
        </w:rPr>
        <w:t>A.4  Anti-Bribery, Gifts and Hospitality</w:t>
      </w:r>
    </w:p>
    <w:p>
      <w:pPr>
        <w:spacing w:before="0" w:after="80" w:line="276" w:lineRule="auto"/>
      </w:pPr>
      <w:r>
        <w:rPr>
          <w:b w:val="0"/>
          <w:i w:val="0"/>
          <w:sz w:val="21"/>
        </w:rPr>
        <w:t>The Company's employees may not seek, accept or be given anything of value in return for favourable treatment of an account, and this section sets out the standard the Company expects an account holder's own staff, agents and contractors to observe when dealing with the Company's employees. The standard applies regardless of the size of the account, the seniority of the individuals involved or whether the item offered is described as a gift, an entertainment, a courtesy or a customary local practice; the description given to an item does not change how it is treated under this Supplement.</w:t>
      </w:r>
    </w:p>
    <w:p>
      <w:pPr>
        <w:spacing w:before="0" w:after="80" w:line="276" w:lineRule="auto"/>
      </w:pPr>
      <w:r>
        <w:rPr>
          <w:b w:val="0"/>
          <w:i w:val="0"/>
          <w:sz w:val="21"/>
        </w:rPr>
        <w:t>Modest, infrequent items of nominal value, such as a branded promotional item, a working meal taken in the course of a genuine business meeting, or attendance at an industry event to which the Company's employee is also contributing as a speaker or exhibitor, are generally acceptable and do not need prior approval, but must still be recorded by the Company's employee in the gifts and hospitality register described in Section 1.15. An item that is not modest, that is offered outside a genuine business context, that is offered to a family member of the Company's employee rather than to the employee, or that is offered close in time to a pending credit decision or dispute requires the approval described in the table below before it is accepted, and in some cases must be declined outright.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Type of item</w:t>
            </w:r>
          </w:p>
        </w:tc>
        <w:tc>
          <w:tcPr>
            <w:tcW w:type="dxa" w:w="1928"/>
            <w:vAlign w:val="bottom"/>
            <w:shd w:val="clear" w:color="auto" w:fill="D9D9D9"/>
          </w:tcPr>
          <w:p>
            <w:pPr>
              <w:spacing w:before="0" w:after="0"/>
            </w:pPr>
            <w:r/>
            <w:r>
              <w:rPr>
                <w:b/>
                <w:i w:val="0"/>
                <w:sz w:val="14"/>
              </w:rPr>
              <w:t>Threshold</w:t>
            </w:r>
          </w:p>
        </w:tc>
        <w:tc>
          <w:tcPr>
            <w:tcW w:type="dxa" w:w="2835"/>
            <w:vAlign w:val="bottom"/>
            <w:shd w:val="clear" w:color="auto" w:fill="D9D9D9"/>
          </w:tcPr>
          <w:p>
            <w:pPr>
              <w:spacing w:before="0" w:after="0"/>
            </w:pPr>
            <w:r/>
            <w:r>
              <w:rPr>
                <w:b/>
                <w:i w:val="0"/>
                <w:sz w:val="14"/>
              </w:rPr>
              <w:t>Approval before acceptance</w:t>
            </w:r>
          </w:p>
        </w:tc>
        <w:tc>
          <w:tcPr>
            <w:tcW w:type="dxa" w:w="2041"/>
            <w:vAlign w:val="bottom"/>
            <w:shd w:val="clear" w:color="auto" w:fill="D9D9D9"/>
          </w:tcPr>
          <w:p>
            <w:pPr>
              <w:spacing w:before="0" w:after="0"/>
            </w:pPr>
            <w:r/>
            <w:r>
              <w:rPr>
                <w:b/>
                <w:i w:val="0"/>
                <w:sz w:val="14"/>
              </w:rPr>
              <w:t>Register entry</w:t>
            </w:r>
          </w:p>
        </w:tc>
      </w:tr>
      <w:tr>
        <w:tc>
          <w:tcPr>
            <w:tcW w:type="dxa" w:w="2608"/>
          </w:tcPr>
          <w:p>
            <w:pPr>
              <w:spacing w:before="0" w:after="0"/>
            </w:pPr>
            <w:r/>
            <w:r>
              <w:rPr>
                <w:b w:val="0"/>
                <w:i w:val="0"/>
                <w:sz w:val="16"/>
              </w:rPr>
              <w:t>Branded item of nominal value (pen, cap, calendar)</w:t>
            </w:r>
          </w:p>
        </w:tc>
        <w:tc>
          <w:tcPr>
            <w:tcW w:type="dxa" w:w="1928"/>
          </w:tcPr>
          <w:p>
            <w:pPr>
              <w:spacing w:before="0" w:after="0"/>
            </w:pPr>
            <w:r/>
            <w:r>
              <w:rPr>
                <w:b w:val="0"/>
                <w:i w:val="0"/>
                <w:sz w:val="16"/>
              </w:rPr>
              <w:t>No threshold; always acceptable</w:t>
            </w:r>
          </w:p>
        </w:tc>
        <w:tc>
          <w:tcPr>
            <w:tcW w:type="dxa" w:w="2835"/>
          </w:tcPr>
          <w:p>
            <w:pPr>
              <w:spacing w:before="0" w:after="0"/>
            </w:pPr>
            <w:r/>
            <w:r>
              <w:rPr>
                <w:b w:val="0"/>
                <w:i w:val="0"/>
                <w:sz w:val="16"/>
              </w:rPr>
              <w:t>Not required</w:t>
            </w:r>
          </w:p>
        </w:tc>
        <w:tc>
          <w:tcPr>
            <w:tcW w:type="dxa" w:w="2041"/>
          </w:tcPr>
          <w:p>
            <w:pPr>
              <w:spacing w:before="0" w:after="0"/>
            </w:pPr>
            <w:r/>
            <w:r>
              <w:rPr>
                <w:b w:val="0"/>
                <w:i w:val="0"/>
                <w:sz w:val="16"/>
              </w:rPr>
              <w:t>Not required</w:t>
            </w:r>
          </w:p>
        </w:tc>
      </w:tr>
      <w:tr>
        <w:tc>
          <w:tcPr>
            <w:tcW w:type="dxa" w:w="2608"/>
          </w:tcPr>
          <w:p>
            <w:pPr>
              <w:spacing w:before="0" w:after="0"/>
            </w:pPr>
            <w:r/>
            <w:r>
              <w:rPr>
                <w:b w:val="0"/>
                <w:i w:val="0"/>
                <w:sz w:val="16"/>
              </w:rPr>
              <w:t>Working meal in connection with a business meeting</w:t>
            </w:r>
          </w:p>
        </w:tc>
        <w:tc>
          <w:tcPr>
            <w:tcW w:type="dxa" w:w="1928"/>
          </w:tcPr>
          <w:p>
            <w:pPr>
              <w:spacing w:before="0" w:after="0"/>
            </w:pPr>
            <w:r/>
            <w:r>
              <w:rPr>
                <w:b w:val="0"/>
                <w:i w:val="0"/>
                <w:sz w:val="16"/>
              </w:rPr>
              <w:t>Reasonable and proportionate to the occasion</w:t>
            </w:r>
          </w:p>
        </w:tc>
        <w:tc>
          <w:tcPr>
            <w:tcW w:type="dxa" w:w="2835"/>
          </w:tcPr>
          <w:p>
            <w:pPr>
              <w:spacing w:before="0" w:after="0"/>
            </w:pPr>
            <w:r/>
            <w:r>
              <w:rPr>
                <w:b w:val="0"/>
                <w:i w:val="0"/>
                <w:sz w:val="16"/>
              </w:rPr>
              <w:t>Not required below $75 per person; above that, 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Event or facility tour hospitality (single day, no overnight stay)</w:t>
            </w:r>
          </w:p>
        </w:tc>
        <w:tc>
          <w:tcPr>
            <w:tcW w:type="dxa" w:w="1928"/>
          </w:tcPr>
          <w:p>
            <w:pPr>
              <w:spacing w:before="0" w:after="0"/>
            </w:pPr>
            <w:r/>
            <w:r>
              <w:rPr>
                <w:b w:val="0"/>
                <w:i w:val="0"/>
                <w:sz w:val="16"/>
              </w:rPr>
              <w:t>Reasonable and proportionate</w:t>
            </w:r>
          </w:p>
        </w:tc>
        <w:tc>
          <w:tcPr>
            <w:tcW w:type="dxa" w:w="2835"/>
          </w:tcPr>
          <w:p>
            <w:pPr>
              <w:spacing w:before="0" w:after="0"/>
            </w:pPr>
            <w:r/>
            <w:r>
              <w:rPr>
                <w:b w:val="0"/>
                <w:i w:val="0"/>
                <w:sz w:val="16"/>
              </w:rPr>
              <w:t>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Hospitality involving overnight travel or accommodation</w:t>
            </w:r>
          </w:p>
        </w:tc>
        <w:tc>
          <w:tcPr>
            <w:tcW w:type="dxa" w:w="1928"/>
          </w:tcPr>
          <w:p>
            <w:pPr>
              <w:spacing w:before="0" w:after="0"/>
            </w:pPr>
            <w:r/>
            <w:r>
              <w:rPr>
                <w:b w:val="0"/>
                <w:i w:val="0"/>
                <w:sz w:val="16"/>
              </w:rPr>
              <w:t>Any value</w:t>
            </w:r>
          </w:p>
        </w:tc>
        <w:tc>
          <w:tcPr>
            <w:tcW w:type="dxa" w:w="2835"/>
          </w:tcPr>
          <w:p>
            <w:pPr>
              <w:spacing w:before="0" w:after="0"/>
            </w:pPr>
            <w:r/>
            <w:r>
              <w:rPr>
                <w:b w:val="0"/>
                <w:i w:val="0"/>
                <w:sz w:val="16"/>
              </w:rPr>
              <w:t>Compliance function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Seasonal or personal gift (holiday, birthday, life event)</w:t>
            </w:r>
          </w:p>
        </w:tc>
        <w:tc>
          <w:tcPr>
            <w:tcW w:type="dxa" w:w="1928"/>
          </w:tcPr>
          <w:p>
            <w:pPr>
              <w:spacing w:before="0" w:after="0"/>
            </w:pPr>
            <w:r/>
            <w:r>
              <w:rPr>
                <w:b w:val="0"/>
                <w:i w:val="0"/>
                <w:sz w:val="16"/>
              </w:rPr>
              <w:t>Modest, customary items only</w:t>
            </w:r>
          </w:p>
        </w:tc>
        <w:tc>
          <w:tcPr>
            <w:tcW w:type="dxa" w:w="2835"/>
          </w:tcPr>
          <w:p>
            <w:pPr>
              <w:spacing w:before="0" w:after="0"/>
            </w:pPr>
            <w:r/>
            <w:r>
              <w:rPr>
                <w:b w:val="0"/>
                <w:i w:val="0"/>
                <w:sz w:val="16"/>
              </w:rPr>
              <w:t>Supervisor approval above $50</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Cash, cash equivalents (gift cards, vouchers) or loans</w:t>
            </w:r>
          </w:p>
        </w:tc>
        <w:tc>
          <w:tcPr>
            <w:tcW w:type="dxa" w:w="1928"/>
          </w:tcPr>
          <w:p>
            <w:pPr>
              <w:spacing w:before="0" w:after="0"/>
            </w:pPr>
            <w:r/>
            <w:r>
              <w:rPr>
                <w:b w:val="0"/>
                <w:i w:val="0"/>
                <w:sz w:val="16"/>
              </w:rPr>
              <w:t>Not applicable</w:t>
            </w:r>
          </w:p>
        </w:tc>
        <w:tc>
          <w:tcPr>
            <w:tcW w:type="dxa" w:w="2835"/>
          </w:tcPr>
          <w:p>
            <w:pPr>
              <w:spacing w:before="0" w:after="0"/>
            </w:pPr>
            <w:r/>
            <w:r>
              <w:rPr>
                <w:b w:val="0"/>
                <w:i w:val="0"/>
                <w:sz w:val="16"/>
              </w:rPr>
              <w:t>Never acceptable</w:t>
            </w:r>
          </w:p>
        </w:tc>
        <w:tc>
          <w:tcPr>
            <w:tcW w:type="dxa" w:w="204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The standard in this section applies equally where the item is offered through an intermediary acting for the account holder, such as a distributor, a manufacturer's representative or a consultant retained to manage the relationship with the Company, and an account holder is not relieved of responsibility for an improper offer made on its behalf merely because the offer did not pass through its own employee. An account holder that engages an intermediary of this kind for dealings with the Company is expected to make the intermediary aware of this section.</w:t>
      </w:r>
    </w:p>
    <w:p>
      <w:pPr>
        <w:spacing w:before="0" w:after="80" w:line="276" w:lineRule="auto"/>
      </w:pPr>
      <w:r>
        <w:rPr>
          <w:b w:val="0"/>
          <w:i w:val="0"/>
          <w:sz w:val="21"/>
        </w:rPr>
        <w:t>Cash and cash equivalents, including gift cards, vouchers and interest-free loans, are never acceptable in any amount and must be declined and reported regardless of the relationship between the parties. Facilitation payments intended to expedite a routine government action, and any contribution, in the Company's name or apparently on the Company's behalf, to a political party, candidate or campaign, are also prohibited outright and are treated as a serious breach of this Supplement rather than as a gifts and hospitality matter to be logged and cleared.</w:t>
      </w:r>
    </w:p>
    <w:p>
      <w:pPr>
        <w:spacing w:before="0" w:after="80" w:line="276" w:lineRule="auto"/>
      </w:pPr>
      <w:r>
        <w:rPr>
          <w:b w:val="0"/>
          <w:i w:val="0"/>
          <w:sz w:val="21"/>
        </w:rPr>
        <w:t>A donation to a charity nominated or requested by a Company employee, as distinct from a donation the account holder makes on its own initiative to a cause of its own choosing, is treated in the same way as a gift to the employee personally and is subject to the same approval described above; an account holder that wishes to support a cause connected with the Company, such as a scholarship fund or a community programme the Company itself sponsors, should direct the donation to the fund directly rather than through an individual employee.</w:t>
      </w:r>
    </w:p>
    <w:p>
      <w:pPr>
        <w:spacing w:before="0" w:after="80" w:line="276" w:lineRule="auto"/>
      </w:pPr>
      <w:r>
        <w:rPr>
          <w:b w:val="0"/>
          <w:i w:val="0"/>
          <w:sz w:val="21"/>
        </w:rPr>
        <w:t>An account holder whose own staff or agents offer an item that falls outside what is described above, or that pressures a Company employee to accept an item after being told that approval is required, will have the matter referred to the account's credit review, and the Credit Manager may suspend or close the account under Section 1.10 independently of any other consequence in law. Repeated offers, even of modest items, after the account holder has been asked to stop are treated in the same way as a single significant offer.</w:t>
      </w:r>
    </w:p>
    <w:p>
      <w:pPr>
        <w:spacing w:before="0" w:after="80" w:line="276" w:lineRule="auto"/>
      </w:pPr>
      <w:r>
        <w:rPr>
          <w:b w:val="0"/>
          <w:i w:val="0"/>
          <w:sz w:val="21"/>
        </w:rPr>
        <w:t>Where the Company sponsors, exhibits at, or sends staff to attend an event organised by an account holder, or an event at which an account holder is also present, the same limits apply in reverse: the Company's employees may not accept a speaking fee, a waived registration fee or a comparable benefit from an account holder without the same approval described above, and an account holder is not disadvantaged in its dealings with the Company because it declines to offer one.</w:t>
      </w:r>
    </w:p>
    <w:p>
      <w:pPr>
        <w:spacing w:before="160" w:after="60" w:line="276" w:lineRule="auto"/>
      </w:pPr>
      <w:r>
        <w:rPr>
          <w:b/>
          <w:i w:val="0"/>
          <w:sz w:val="21"/>
        </w:rPr>
        <w:t>A.5  Conflict Minerals and RoHS/REACH Declarations</w:t>
      </w:r>
    </w:p>
    <w:p>
      <w:pPr>
        <w:spacing w:before="0" w:after="80" w:line="276" w:lineRule="auto"/>
      </w:pPr>
      <w:r>
        <w:rPr>
          <w:b w:val="0"/>
          <w:i w:val="0"/>
          <w:sz w:val="21"/>
        </w:rPr>
        <w:t>Section 7.8 describes the declarations of conformity, safety data sheets and conflict-minerals reporting that the Company provides to a customer on request for the products it manufactures or distributes. This section describes the corresponding declarations the Company asks an account holder to provide where the account holder supplies its own material, tooling, dies, packaging components or consigned parts for use in the Company's kitting, calibration or vendor-managed inventory services, since in that situation the account holder is, for those items, in the position of a supplier to the Company rather than only a customer of it.</w:t>
      </w:r>
    </w:p>
    <w:p>
      <w:pPr>
        <w:spacing w:before="0" w:after="80" w:line="276" w:lineRule="auto"/>
      </w:pPr>
      <w:r>
        <w:rPr>
          <w:b w:val="0"/>
          <w:i w:val="0"/>
          <w:sz w:val="21"/>
        </w:rPr>
        <w:t>This section does not apply to an account holder that only buys finished goods from the Company for its own use or for straightforward resale without supplying material of its own; the sourcing and substance declarations described here are relevant only where the account holder is, for a specific order, itself a source of material or components that the Company incorporates, kits or processes.</w:t>
      </w:r>
    </w:p>
    <w:p>
      <w:pPr>
        <w:spacing w:before="0" w:after="80" w:line="276" w:lineRule="auto"/>
      </w:pPr>
      <w:r>
        <w:rPr>
          <w:b w:val="0"/>
          <w:i w:val="0"/>
          <w:sz w:val="21"/>
        </w:rPr>
        <w:t>An account holder that consigns material for a kitted assembly, or that supplies a customer-owned die or tool for a fabrication order, is asked to complete the Company's standard sourcing declaration for tin, tantalum, tungsten and gold contained in that material before the first order using it is accepted, and to update the declaration if the sourcing changes. The declaration is a statement of the account holder's own supply chain and is relied on by the Company in its own downstream reporting to a customer that requests it; an account holder that cannot trace its sourcing to this level should say so rather than provide an estimate presented as a traced figure.</w:t>
      </w:r>
    </w:p>
    <w:p>
      <w:pPr>
        <w:spacing w:before="0" w:after="80" w:line="276" w:lineRule="auto"/>
      </w:pPr>
      <w:r>
        <w:rPr>
          <w:b w:val="0"/>
          <w:i w:val="0"/>
          <w:sz w:val="21"/>
        </w:rPr>
        <w:t>Where consigned material or a customer-supplied component contains restricted substances under RoHS or REACH, or is intended for inclusion in an assembly that will itself be placed on a market where those regimes apply, the account holder must disclose this before the material is accepted for processing, together with the applicable safety data sheet. The Company's calibration and fabrication services are not a substitute for the account holder's own compliance programme, and accepting material for processing does not amount to a representation by the Company that the material meets any particular regulatory standard.</w:t>
      </w:r>
    </w:p>
    <w:p>
      <w:pPr>
        <w:spacing w:before="0" w:after="80" w:line="276" w:lineRule="auto"/>
      </w:pPr>
      <w:r>
        <w:rPr>
          <w:b w:val="0"/>
          <w:i w:val="0"/>
          <w:sz w:val="21"/>
        </w:rPr>
        <w:t>Declarations under this section are kept with the order record for the retention period set out in Section A.6 below and may be requested again if a customer of the account holder, or a regulator, later asks the Company to confirm the basis on which a declaration it issued was made. An account holder that provides a declaration it knows to be false, or that later discovers to be false and does not correct, is treated in the same way as an account holder that has made a false statement on the credit application under Section 1.9.</w:t>
      </w:r>
    </w:p>
    <w:p>
      <w:pPr>
        <w:spacing w:before="0" w:after="80" w:line="276" w:lineRule="auto"/>
      </w:pPr>
      <w:r>
        <w:rPr>
          <w:b w:val="0"/>
          <w:i w:val="0"/>
          <w:sz w:val="21"/>
        </w:rPr>
        <w:t>A dispute about the content of a sourcing or substance declaration, for example where the Company's own downstream customer questions a figure passed on from an account holder's declaration, is resolved between the Company and the account holder in the first instance, with the underlying supporting records described in Section A.6 below made available to the Company for that purpose; the Company does not disclose an account holder's declaration to a third party without telling the account holder first, except where a regulator requires immediate disclosure.</w:t>
      </w:r>
    </w:p>
    <w:p>
      <w:pPr>
        <w:spacing w:before="0" w:after="80" w:line="276" w:lineRule="auto"/>
      </w:pPr>
      <w:r>
        <w:rPr>
          <w:b w:val="0"/>
          <w:i w:val="0"/>
          <w:sz w:val="21"/>
        </w:rPr>
        <w:t>An account holder operating under the vendor-managed inventory programme described in Section 7.7, where consigned stock rather than material for processing is involved, is not required to provide the sourcing declarations described in this section for that consigned stock, since the stock remains the Company's own product moving through the account holder's premises rather than material the account holder is supplying to the Company.</w:t>
      </w:r>
    </w:p>
    <w:p>
      <w:pPr>
        <w:spacing w:before="160" w:after="60" w:line="276" w:lineRule="auto"/>
      </w:pPr>
      <w:r>
        <w:rPr>
          <w:b/>
          <w:i w:val="0"/>
          <w:sz w:val="21"/>
        </w:rPr>
        <w:t>A.6  Record Keeping and the Company's Audit Rights</w:t>
      </w:r>
    </w:p>
    <w:p>
      <w:pPr>
        <w:spacing w:before="0" w:after="80" w:line="276" w:lineRule="auto"/>
      </w:pPr>
      <w:r>
        <w:rPr>
          <w:b w:val="0"/>
          <w:i w:val="0"/>
          <w:sz w:val="21"/>
        </w:rPr>
        <w:t>An account holder is expected to keep, for its own records, the documents that support its compliance with this Supplement: any export licence, authorisation or classification advice it has obtained for goods bought from the Company; screening records for its own downstream customers where it resells; gifts and hospitality register entries relating to dealings with the Company's staff; and the sourcing and substance declarations described in Section A.5 above. These are the account holder's own records rather than documents the Company holds, and the Company does not maintain copies of them as a matter of course.</w:t>
      </w:r>
    </w:p>
    <w:p>
      <w:pPr>
        <w:spacing w:before="0" w:after="80" w:line="276" w:lineRule="auto"/>
      </w:pPr>
      <w:r>
        <w:rPr>
          <w:b w:val="0"/>
          <w:i w:val="0"/>
          <w:sz w:val="21"/>
        </w:rPr>
        <w:t>The retention periods in the table below reflect the periods commonly required by the export control, anti-corruption and product-compliance regimes that apply to the goods the Company supplies; an account holder subject to a longer period under its own law, or under a regime specific to its own industry, should keep the record for the longer of the two periods rather than the period shown here.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Record</w:t>
            </w:r>
          </w:p>
        </w:tc>
        <w:tc>
          <w:tcPr>
            <w:tcW w:type="dxa" w:w="2948"/>
            <w:vAlign w:val="bottom"/>
            <w:shd w:val="clear" w:color="auto" w:fill="D9D9D9"/>
          </w:tcPr>
          <w:p>
            <w:pPr>
              <w:spacing w:before="0" w:after="0"/>
            </w:pPr>
            <w:r/>
            <w:r>
              <w:rPr>
                <w:b/>
                <w:i w:val="0"/>
                <w:sz w:val="14"/>
              </w:rPr>
              <w:t>Minimum retention</w:t>
            </w:r>
          </w:p>
        </w:tc>
        <w:tc>
          <w:tcPr>
            <w:tcW w:type="dxa" w:w="2268"/>
            <w:vAlign w:val="bottom"/>
            <w:shd w:val="clear" w:color="auto" w:fill="D9D9D9"/>
          </w:tcPr>
          <w:p>
            <w:pPr>
              <w:spacing w:before="0" w:after="0"/>
            </w:pPr>
            <w:r/>
            <w:r>
              <w:rPr>
                <w:b/>
                <w:i w:val="0"/>
                <w:sz w:val="14"/>
              </w:rPr>
              <w:t>Kept by</w:t>
            </w:r>
          </w:p>
        </w:tc>
      </w:tr>
      <w:tr>
        <w:tc>
          <w:tcPr>
            <w:tcW w:type="dxa" w:w="4195"/>
          </w:tcPr>
          <w:p>
            <w:pPr>
              <w:spacing w:before="0" w:after="0"/>
            </w:pPr>
            <w:r/>
            <w:r>
              <w:rPr>
                <w:b w:val="0"/>
                <w:i w:val="0"/>
                <w:sz w:val="16"/>
              </w:rPr>
              <w:t>Export licence, authorisation or classification advice obtained by the account holder</w:t>
            </w:r>
          </w:p>
        </w:tc>
        <w:tc>
          <w:tcPr>
            <w:tcW w:type="dxa" w:w="2948"/>
          </w:tcPr>
          <w:p>
            <w:pPr>
              <w:spacing w:before="0" w:after="0"/>
            </w:pPr>
            <w:r/>
            <w:r>
              <w:rPr>
                <w:b w:val="0"/>
                <w:i w:val="0"/>
                <w:sz w:val="16"/>
              </w:rPr>
              <w:t>5 years from the date of the transaction</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Screening records for the account holder's own downstream customers</w:t>
            </w:r>
          </w:p>
        </w:tc>
        <w:tc>
          <w:tcPr>
            <w:tcW w:type="dxa" w:w="2948"/>
          </w:tcPr>
          <w:p>
            <w:pPr>
              <w:spacing w:before="0" w:after="0"/>
            </w:pPr>
            <w:r/>
            <w:r>
              <w:rPr>
                <w:b w:val="0"/>
                <w:i w:val="0"/>
                <w:sz w:val="16"/>
              </w:rPr>
              <w:t>5 years from the date of the screening</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Gifts and hospitality register entries relating to the Company's staff</w:t>
            </w:r>
          </w:p>
        </w:tc>
        <w:tc>
          <w:tcPr>
            <w:tcW w:type="dxa" w:w="2948"/>
          </w:tcPr>
          <w:p>
            <w:pPr>
              <w:spacing w:before="0" w:after="0"/>
            </w:pPr>
            <w:r/>
            <w:r>
              <w:rPr>
                <w:b w:val="0"/>
                <w:i w:val="0"/>
                <w:sz w:val="16"/>
              </w:rPr>
              <w:t>3 years from the date of the entry</w:t>
            </w:r>
          </w:p>
        </w:tc>
        <w:tc>
          <w:tcPr>
            <w:tcW w:type="dxa" w:w="2268"/>
          </w:tcPr>
          <w:p>
            <w:pPr>
              <w:spacing w:before="0" w:after="0"/>
            </w:pPr>
            <w:r/>
            <w:r>
              <w:rPr>
                <w:b w:val="0"/>
                <w:i w:val="0"/>
                <w:sz w:val="16"/>
              </w:rPr>
              <w:t>Account holder; the Company keeps its own register under Section 1.15</w:t>
            </w:r>
          </w:p>
        </w:tc>
      </w:tr>
      <w:tr>
        <w:tc>
          <w:tcPr>
            <w:tcW w:type="dxa" w:w="4195"/>
          </w:tcPr>
          <w:p>
            <w:pPr>
              <w:spacing w:before="0" w:after="0"/>
            </w:pPr>
            <w:r/>
            <w:r>
              <w:rPr>
                <w:b w:val="0"/>
                <w:i w:val="0"/>
                <w:sz w:val="16"/>
              </w:rPr>
              <w:t>Conflict-minerals and substance declarations under Section A.5</w:t>
            </w:r>
          </w:p>
        </w:tc>
        <w:tc>
          <w:tcPr>
            <w:tcW w:type="dxa" w:w="2948"/>
          </w:tcPr>
          <w:p>
            <w:pPr>
              <w:spacing w:before="0" w:after="0"/>
            </w:pPr>
            <w:r/>
            <w:r>
              <w:rPr>
                <w:b w:val="0"/>
                <w:i w:val="0"/>
                <w:sz w:val="16"/>
              </w:rPr>
              <w:t>5 years from the date provided, or the life of the order record if longer</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Records produced to the Company under an audit conducted under this section</w:t>
            </w:r>
          </w:p>
        </w:tc>
        <w:tc>
          <w:tcPr>
            <w:tcW w:type="dxa" w:w="2948"/>
          </w:tcPr>
          <w:p>
            <w:pPr>
              <w:spacing w:before="0" w:after="0"/>
            </w:pPr>
            <w:r/>
            <w:r>
              <w:rPr>
                <w:b w:val="0"/>
                <w:i w:val="0"/>
                <w:sz w:val="16"/>
              </w:rPr>
              <w:t>3 years from the date the audit closes</w:t>
            </w:r>
          </w:p>
        </w:tc>
        <w:tc>
          <w:tcPr>
            <w:tcW w:type="dxa" w:w="2268"/>
          </w:tcPr>
          <w:p>
            <w:pPr>
              <w:spacing w:before="0" w:after="0"/>
            </w:pPr>
            <w:r/>
            <w:r>
              <w:rPr>
                <w:b w:val="0"/>
                <w:i w:val="0"/>
                <w:sz w:val="16"/>
              </w:rPr>
              <w:t>Company</w:t>
            </w:r>
          </w:p>
        </w:tc>
      </w:tr>
    </w:tbl>
    <w:p>
      <w:pPr>
        <w:spacing w:before="0" w:after="80"/>
      </w:pPr>
    </w:p>
    <w:p>
      <w:pPr>
        <w:spacing w:before="0" w:after="80" w:line="276" w:lineRule="auto"/>
      </w:pPr>
      <w:r>
        <w:rPr>
          <w:b w:val="0"/>
          <w:i w:val="0"/>
          <w:sz w:val="21"/>
        </w:rPr>
        <w:t>The Company may audit an account holder's compliance with this Supplement where the Company has a reasonable basis to believe a requirement has not been met, or as a routine check of an account that resells goods obtained from the Company or that operates under a vendor-managed inventory arrangement. An audit is conducted on no less than ten business days' written notice, is limited to the records described in this section that relate to goods bought from the Company, and is carried out during the account holder's normal business hours either by the Company's own compliance staff or by an independent firm engaged by the Company and bound to keep what it sees confidential.</w:t>
      </w:r>
    </w:p>
    <w:p>
      <w:pPr>
        <w:spacing w:before="0" w:after="80" w:line="276" w:lineRule="auto"/>
      </w:pPr>
      <w:r>
        <w:rPr>
          <w:b w:val="0"/>
          <w:i w:val="0"/>
          <w:sz w:val="21"/>
        </w:rPr>
        <w:t>Each party bears its own cost of an audit conducted under this section, except that where an audit finds a material failure to meet a requirement of this Supplement, the account holder bears the reasonable cost of the audit and of any follow-up review needed to confirm that the failure has been corrected. An account holder that refuses a properly noticed audit is treated as having failed the audit for the purpose of this section.</w:t>
      </w:r>
    </w:p>
    <w:p>
      <w:pPr>
        <w:spacing w:before="0" w:after="80" w:line="276" w:lineRule="auto"/>
      </w:pPr>
      <w:r>
        <w:rPr>
          <w:b w:val="0"/>
          <w:i w:val="0"/>
          <w:sz w:val="21"/>
        </w:rPr>
        <w:t>Anything the Company or its independent firm sees in the course of an audit conducted under this section is used only to confirm compliance with this Supplement and is not shared with the account's credit reviewer, its sales territory manager under Section 2.6, or any other part of the Company, except to the extent needed to act on a finding that the account should be suspended or closed.</w:t>
      </w:r>
    </w:p>
    <w:p>
      <w:pPr>
        <w:spacing w:before="0" w:after="80" w:line="276" w:lineRule="auto"/>
      </w:pPr>
      <w:r>
        <w:rPr>
          <w:b w:val="0"/>
          <w:i w:val="0"/>
          <w:sz w:val="21"/>
        </w:rPr>
        <w:t>Where the Company itself uses a subcontractor for a calibration, fabrication or kitting step, the subcontractor is bound by confidentiality and record-keeping obligations at least as strict as those in this section, and an account holder's material or declarations are not passed to a subcontractor located in a destination that would itself raise a concern under Section A.2 above without the account holder being told in advance.</w:t>
      </w:r>
    </w:p>
    <w:p>
      <w:pPr>
        <w:spacing w:before="160" w:after="60" w:line="276" w:lineRule="auto"/>
      </w:pPr>
      <w:r>
        <w:rPr>
          <w:b/>
          <w:i w:val="0"/>
          <w:sz w:val="21"/>
        </w:rPr>
        <w:t>A.7  Reporting Concerns and Non-Retaliation</w:t>
      </w:r>
    </w:p>
    <w:p>
      <w:pPr>
        <w:spacing w:before="0" w:after="80" w:line="276" w:lineRule="auto"/>
      </w:pPr>
      <w:r>
        <w:rPr>
          <w:b w:val="0"/>
          <w:i w:val="0"/>
          <w:sz w:val="21"/>
        </w:rPr>
        <w:t>A concern about a possible breach of this Supplement, by the Company's own staff or by an account holder, can be raised with the account manager, with the Credit Manager, or through the ethics line described in the contact directory in Section 10.2, whichever the person raising it is most comfortable using. A concern raised through the ethics line can be made without giving a name, and the Company does not attempt to identify an anonymous reporter.</w:t>
      </w:r>
    </w:p>
    <w:p>
      <w:pPr>
        <w:spacing w:before="0" w:after="80" w:line="276" w:lineRule="auto"/>
      </w:pPr>
      <w:r>
        <w:rPr>
          <w:b w:val="0"/>
          <w:i w:val="0"/>
          <w:sz w:val="21"/>
        </w:rPr>
        <w:t>The Company does not take adverse action against an account, or against an individual raising a concern on behalf of an account holder, because a concern was raised in good faith, even where the concern is later found not to be substantiated. Good faith means only that the person raising the concern honestly believed it to be true when they raised it; it does not require the concern to turn out to be correct. An account holder that believes it has suffered adverse treatment because it raised a concern should say so to the Credit Manager directly, and the matter will be reviewed outside the normal account-management line.</w:t>
      </w:r>
    </w:p>
    <w:p>
      <w:pPr>
        <w:spacing w:before="0" w:after="80" w:line="276" w:lineRule="auto"/>
      </w:pPr>
      <w:r>
        <w:rPr>
          <w:b w:val="0"/>
          <w:i w:val="0"/>
          <w:sz w:val="21"/>
        </w:rPr>
        <w:t>A concern raised maliciously, or one raised about a competitor's account in an attempt to disrupt that account rather than in a genuine belief that this Supplement has been breached, is not protected by this section, and the Company reserves the position it would otherwise have, including in relation to its own account with the party raising it, where that is later shown to have happened. This does not affect a concern that is raised in good faith but turns out to be mistaken, which remains protected regardless of the outcome of the review.</w:t>
      </w:r>
    </w:p>
    <w:p>
      <w:pPr>
        <w:spacing w:before="0" w:after="80" w:line="276" w:lineRule="auto"/>
      </w:pPr>
      <w:r>
        <w:rPr>
          <w:b w:val="0"/>
          <w:i w:val="0"/>
          <w:sz w:val="21"/>
        </w:rPr>
        <w:t>An account holder that resells goods obtained from the Company, or that operates under a vendor-managed inventory arrangement, is asked to confirm, at each annual review under Section 1.11, that the staff who deal with the Company have been made aware of the standards in this Supplement; the confirmation may be a short written statement from an authorised officer and does not need to describe the account holder's own internal training in detail.</w:t>
      </w:r>
    </w:p>
    <w:p>
      <w:pPr>
        <w:spacing w:before="0" w:after="80" w:line="276" w:lineRule="auto"/>
      </w:pPr>
      <w:r>
        <w:rPr>
          <w:b w:val="0"/>
          <w:i w:val="0"/>
          <w:sz w:val="21"/>
        </w:rPr>
        <w:t>Training materials summarising this Supplement in plain language are available from the account manager on request and may be shared by the account holder with its own staff; the materials are provided for convenience only and do not replace an account holder's own judgement about what training its particular staff need given the nature of its business.</w:t>
      </w:r>
    </w:p>
    <w:p>
      <w:pPr>
        <w:spacing w:before="0" w:after="80" w:line="276" w:lineRule="auto"/>
      </w:pPr>
      <w:r>
        <w:rPr>
          <w:b w:val="0"/>
          <w:i w:val="0"/>
          <w:sz w:val="21"/>
        </w:rPr>
        <w:t>A material change to this Supplement between annual reprints of the onboarding pack is communicated to existing account holders through the same channel used for pricing and product notices, and an account holder is expected to treat that communication as forming part of this Supplement from the date given in the notice, whether or not the physical pack it holds has yet been reissued.</w:t>
      </w:r>
    </w:p>
    <w:p>
      <w:pPr>
        <w:spacing w:before="0" w:after="120" w:line="276" w:lineRule="auto"/>
      </w:pPr>
      <w:r>
        <w:rPr>
          <w:b w:val="0"/>
          <w:i/>
          <w:sz w:val="17"/>
        </w:rPr>
        <w:t>This section does not create, and is not intended to be interpreted as creating, any right enforceable by a person who is not a party to the account agreement.</w:t>
      </w: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APP-2026-00318</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Northwind Components Ltd. </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412-8890            </w:t>
      </w:r>
      <w:r>
        <w:rPr>
          <w:sz w:val="17"/>
        </w:rPr>
        <w:t xml:space="preserve">    </w:t>
      </w:r>
      <w:r>
        <w:rPr>
          <w:b/>
          <w:sz w:val="15"/>
        </w:rPr>
        <w:t xml:space="preserve">Fax: </w:t>
      </w:r>
      <w:r>
        <w:rPr>
          <w:sz w:val="17"/>
          <w:u w:val="single"/>
        </w:rPr>
        <w:t xml:space="preserve">(555) 412-8891            </w:t>
      </w:r>
      <w:r>
        <w:rPr>
          <w:sz w:val="17"/>
        </w:rPr>
        <w:t xml:space="preserve">    </w:t>
      </w:r>
      <w:r>
        <w:rPr>
          <w:b/>
          <w:sz w:val="15"/>
        </w:rPr>
        <w:t xml:space="preserve">Company Website: </w:t>
      </w:r>
      <w:r>
        <w:rPr>
          <w:sz w:val="17"/>
          <w:u w:val="single"/>
        </w:rPr>
        <w:t>www.northwindcomponents.com</w:t>
      </w:r>
      <w:r>
        <w:rPr>
          <w:sz w:val="17"/>
        </w:rPr>
        <w:t xml:space="preserve">    </w:t>
      </w:r>
    </w:p>
    <w:p>
      <w:pPr>
        <w:spacing w:after="60"/>
      </w:pPr>
      <w:r>
        <w:rPr>
          <w:b/>
          <w:sz w:val="15"/>
        </w:rPr>
        <w:t xml:space="preserve">Fed Employer ID Number (Tax ID): </w:t>
      </w:r>
      <w:r>
        <w:rPr>
          <w:sz w:val="17"/>
          <w:u w:val="single"/>
        </w:rPr>
        <w:t xml:space="preserve">56-0447119                </w:t>
      </w:r>
      <w:r>
        <w:rPr>
          <w:sz w:val="17"/>
        </w:rPr>
        <w:t xml:space="preserve">    </w:t>
      </w:r>
      <w:r>
        <w:rPr>
          <w:b/>
          <w:sz w:val="15"/>
        </w:rPr>
        <w:t xml:space="preserve">DUNS: </w:t>
      </w:r>
      <w:r>
        <w:rPr>
          <w:sz w:val="17"/>
          <w:u w:val="single"/>
        </w:rPr>
        <w:t xml:space="preserve">07-441-8820               </w:t>
      </w:r>
      <w:r>
        <w:rPr>
          <w:sz w:val="17"/>
        </w:rPr>
        <w:t xml:space="preserve">    </w:t>
      </w:r>
      <w:r>
        <w:rPr>
          <w:b/>
          <w:sz w:val="15"/>
        </w:rPr>
        <w:t xml:space="preserve">Business Start Date: </w:t>
      </w:r>
      <w:r>
        <w:rPr>
          <w:sz w:val="17"/>
          <w:u w:val="single"/>
        </w:rPr>
        <w:t xml:space="preserve">1998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4820 Meridian Parkway, Suite 300                            </w:t>
      </w:r>
      <w:r>
        <w:rPr>
          <w:sz w:val="17"/>
        </w:rPr>
        <w:t xml:space="preserve">    </w:t>
      </w:r>
    </w:p>
    <w:p>
      <w:pPr>
        <w:spacing w:after="60"/>
      </w:pPr>
      <w:r>
        <w:rPr>
          <w:b/>
          <w:sz w:val="15"/>
        </w:rPr>
        <w:t xml:space="preserve">City: </w:t>
      </w:r>
      <w:r>
        <w:rPr>
          <w:sz w:val="17"/>
          <w:u w:val="single"/>
        </w:rPr>
        <w:t xml:space="preserve">Raleigh       </w:t>
      </w:r>
      <w:r>
        <w:rPr>
          <w:sz w:val="17"/>
        </w:rPr>
        <w:t xml:space="preserve">    </w:t>
      </w:r>
      <w:r>
        <w:rPr>
          <w:b/>
          <w:sz w:val="15"/>
        </w:rPr>
        <w:t xml:space="preserve">State: </w:t>
      </w:r>
      <w:r>
        <w:rPr>
          <w:sz w:val="17"/>
          <w:u w:val="single"/>
        </w:rPr>
        <w:t xml:space="preserve">NC            </w:t>
      </w:r>
      <w:r>
        <w:rPr>
          <w:sz w:val="17"/>
        </w:rPr>
        <w:t xml:space="preserve">    </w:t>
      </w:r>
      <w:r>
        <w:rPr>
          <w:b/>
          <w:sz w:val="15"/>
        </w:rPr>
        <w:t xml:space="preserve">Zip: </w:t>
      </w:r>
      <w:r>
        <w:rPr>
          <w:sz w:val="17"/>
          <w:u w:val="single"/>
        </w:rPr>
        <w:t xml:space="preserve">27606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Electronics Manufacturing </w:t>
      </w:r>
      <w:r>
        <w:rPr>
          <w:sz w:val="17"/>
        </w:rPr>
        <w:t xml:space="preserve">    </w:t>
      </w:r>
      <w:r>
        <w:rPr>
          <w:b/>
          <w:sz w:val="15"/>
        </w:rPr>
        <w:t xml:space="preserve"># of Employees: </w:t>
      </w:r>
      <w:r>
        <w:rPr>
          <w:sz w:val="17"/>
          <w:u w:val="single"/>
        </w:rPr>
        <w:t xml:space="preserve">180                       </w:t>
      </w:r>
      <w:r>
        <w:rPr>
          <w:sz w:val="17"/>
        </w:rPr>
        <w:t xml:space="preserve">    </w:t>
      </w:r>
    </w:p>
    <w:p>
      <w:pPr>
        <w:spacing w:after="60"/>
      </w:pPr>
      <w:r>
        <w:rPr>
          <w:b/>
          <w:sz w:val="15"/>
        </w:rPr>
        <w:t xml:space="preserve">Gross Annual Revenue $: </w:t>
      </w:r>
      <w:r>
        <w:rPr>
          <w:sz w:val="17"/>
          <w:u w:val="single"/>
        </w:rPr>
        <w:t xml:space="preserve">24,000,000                    </w:t>
      </w:r>
      <w:r>
        <w:rPr>
          <w:sz w:val="17"/>
        </w:rPr>
        <w:t xml:space="preserve">    </w:t>
      </w:r>
    </w:p>
    <w:p>
      <w:pPr>
        <w:spacing w:after="60"/>
      </w:pPr>
      <w:r>
        <w:rPr>
          <w:b/>
          <w:sz w:val="15"/>
        </w:rPr>
        <w:t xml:space="preserve">Description of Business: </w:t>
      </w:r>
      <w:r>
        <w:rPr>
          <w:sz w:val="17"/>
          <w:u w:val="single"/>
        </w:rPr>
        <w:t>Contract manufacturer of precision connectors and cable assemblies for the industrial automation sector.</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250,000</w:t>
            </w:r>
          </w:p>
        </w:tc>
        <w:tc>
          <w:tcPr>
            <w:tcW w:type="dxa" w:w="3515"/>
          </w:tcPr>
          <w:p>
            <w:pPr>
              <w:spacing w:before="0" w:after="0"/>
            </w:pPr>
            <w:r/>
            <w:r>
              <w:rPr>
                <w:b/>
                <w:i w:val="0"/>
                <w:sz w:val="13"/>
              </w:rPr>
              <w:t>Monthly spend with this supplier $</w:t>
            </w:r>
          </w:p>
          <w:p>
            <w:pPr>
              <w:spacing w:before="0" w:after="0"/>
            </w:pPr>
            <w:r>
              <w:rPr>
                <w:b w:val="0"/>
                <w:i w:val="0"/>
                <w:sz w:val="20"/>
              </w:rPr>
              <w:t>38,000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Primary Phone: </w:t>
      </w:r>
      <w:r>
        <w:rPr>
          <w:sz w:val="17"/>
          <w:u w:val="single"/>
        </w:rPr>
        <w:t xml:space="preserve">(555) 412-8895            </w:t>
      </w:r>
      <w:r>
        <w:rPr>
          <w:sz w:val="17"/>
        </w:rPr>
        <w:t xml:space="preserve">    </w:t>
      </w:r>
      <w:r>
        <w:rPr>
          <w:b/>
          <w:sz w:val="15"/>
        </w:rPr>
        <w:t xml:space="preserve">E-mail: </w:t>
      </w:r>
      <w:r>
        <w:rPr>
          <w:sz w:val="17"/>
          <w:u w:val="single"/>
        </w:rPr>
        <w:t>d.whitfield@northwindcomponents.com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Halstead Industrial Supply</w:t>
            </w:r>
          </w:p>
          <w:p>
            <w:pPr>
              <w:spacing w:before="0" w:after="0"/>
            </w:pPr>
            <w:r>
              <w:rPr>
                <w:b w:val="0"/>
                <w:i w:val="0"/>
                <w:sz w:val="15"/>
              </w:rPr>
              <w:t>Account #: 44-90218          Phone: (555) 771-2040</w:t>
            </w:r>
          </w:p>
          <w:p>
            <w:pPr>
              <w:spacing w:before="0" w:after="0"/>
            </w:pPr>
            <w:r>
              <w:rPr>
                <w:b w:val="0"/>
                <w:i w:val="0"/>
                <w:sz w:val="15"/>
              </w:rPr>
              <w:t>City / State: Raleigh, NC</w:t>
            </w:r>
          </w:p>
        </w:tc>
        <w:tc>
          <w:tcPr>
            <w:tcW w:type="dxa" w:w="5272"/>
          </w:tcPr>
          <w:p>
            <w:pPr>
              <w:spacing w:before="0" w:after="0"/>
            </w:pPr>
            <w:r/>
            <w:r>
              <w:rPr>
                <w:b/>
                <w:i w:val="0"/>
                <w:sz w:val="12"/>
              </w:rPr>
              <w:t>TRADE REFERENCE 2</w:t>
            </w:r>
          </w:p>
          <w:p>
            <w:pPr>
              <w:spacing w:before="0" w:after="0"/>
            </w:pPr>
            <w:r>
              <w:rPr>
                <w:b w:val="0"/>
                <w:i w:val="0"/>
                <w:sz w:val="15"/>
              </w:rPr>
              <w:t>Vendor Name: Cardinal Freight Systems</w:t>
            </w:r>
          </w:p>
          <w:p>
            <w:pPr>
              <w:spacing w:before="0" w:after="0"/>
            </w:pPr>
            <w:r>
              <w:rPr>
                <w:b w:val="0"/>
                <w:i w:val="0"/>
                <w:sz w:val="15"/>
              </w:rPr>
              <w:t>Account #: CF-11907          Phone: (555) 668-9912</w:t>
            </w:r>
          </w:p>
          <w:p>
            <w:pPr>
              <w:spacing w:before="0" w:after="0"/>
            </w:pPr>
            <w:r>
              <w:rPr>
                <w:b w:val="0"/>
                <w:i w:val="0"/>
                <w:sz w:val="15"/>
              </w:rPr>
              <w:t>City / State: Greensboro, NC</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3</w:t>
            </w:r>
          </w:p>
          <w:p>
            <w:pPr>
              <w:spacing w:before="0" w:after="0"/>
            </w:pPr>
            <w:r>
              <w:rPr>
                <w:b w:val="0"/>
                <w:i w:val="0"/>
                <w:sz w:val="15"/>
              </w:rPr>
              <w:t>Vendor Name: Piedmont Tooling Inc.</w:t>
            </w:r>
          </w:p>
          <w:p>
            <w:pPr>
              <w:spacing w:before="0" w:after="0"/>
            </w:pPr>
            <w:r>
              <w:rPr>
                <w:b w:val="0"/>
                <w:i w:val="0"/>
                <w:sz w:val="15"/>
              </w:rPr>
              <w:t>Account #: PT-2240          Phone: (555) 903-4417</w:t>
            </w:r>
          </w:p>
          <w:p>
            <w:pPr>
              <w:spacing w:before="0" w:after="0"/>
            </w:pPr>
            <w:r>
              <w:rPr>
                <w:b w:val="0"/>
                <w:i w:val="0"/>
                <w:sz w:val="15"/>
              </w:rPr>
              <w:t>City / State: Durham, NC</w:t>
            </w:r>
          </w:p>
        </w:tc>
        <w:tc>
          <w:tcPr>
            <w:tcW w:type="dxa" w:w="5272"/>
          </w:tcPr>
          <w:p>
            <w:pPr>
              <w:spacing w:before="0" w:after="0"/>
            </w:pPr>
            <w:r/>
            <w:r>
              <w:rPr>
                <w:b/>
                <w:i w:val="0"/>
                <w:sz w:val="12"/>
              </w:rPr>
              <w:t>TRADE REFERENCE 4</w:t>
            </w:r>
          </w:p>
          <w:p>
            <w:pPr>
              <w:spacing w:before="0" w:after="0"/>
            </w:pPr>
            <w:r>
              <w:rPr>
                <w:b w:val="0"/>
                <w:i w:val="0"/>
                <w:sz w:val="15"/>
              </w:rPr>
              <w:t>Vendor Name: Atlantic Wire &amp; Cable</w:t>
            </w:r>
          </w:p>
          <w:p>
            <w:pPr>
              <w:spacing w:before="0" w:after="0"/>
            </w:pPr>
            <w:r>
              <w:rPr>
                <w:b w:val="0"/>
                <w:i w:val="0"/>
                <w:sz w:val="15"/>
              </w:rPr>
              <w:t>Account #: AWC-8813          Phone: (555) 220-7764</w:t>
            </w:r>
          </w:p>
          <w:p>
            <w:pPr>
              <w:spacing w:before="0" w:after="0"/>
            </w:pPr>
            <w:r>
              <w:rPr>
                <w:b w:val="0"/>
                <w:i w:val="0"/>
                <w:sz w:val="15"/>
              </w:rPr>
              <w:t>City / State: Norfolk, VA</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Annex A -- Logistics, Freight and Returns Handbook</w:t>
      </w:r>
    </w:p>
    <w:p>
      <w:pPr>
        <w:spacing w:before="160" w:after="60" w:line="276" w:lineRule="auto"/>
      </w:pPr>
      <w:r>
        <w:rPr>
          <w:b/>
          <w:i w:val="0"/>
          <w:sz w:val="21"/>
        </w:rPr>
        <w:t>Annex A.1  Incoterms as the Company Applies Them</w:t>
      </w:r>
    </w:p>
    <w:p>
      <w:pPr>
        <w:spacing w:before="0" w:after="80" w:line="276" w:lineRule="auto"/>
      </w:pPr>
      <w:r>
        <w:rPr>
          <w:b w:val="0"/>
          <w:i w:val="0"/>
          <w:sz w:val="21"/>
        </w:rPr>
        <w:t>The Company quotes and invoices on one of a small number of Incoterms rules, and the rule stated on the order acknowledgment, not the rule mentioned in an earlier quotation or purchase order, is the one that governs the shipment. Ex Works from the Company's Dallas distribution centre is the default rule for an account without a negotiated freight arrangement; Delivered at Place and Carriage Paid To are used where the Company has agreed to arrange and pay the primary freight, most often for a Gold-tier account or under a standing freight allowance.</w:t>
      </w:r>
    </w:p>
    <w:p>
      <w:pPr>
        <w:spacing w:before="0" w:after="80" w:line="276" w:lineRule="auto"/>
      </w:pPr>
      <w:r>
        <w:rPr>
          <w:b w:val="0"/>
          <w:i w:val="0"/>
          <w:sz w:val="21"/>
        </w:rPr>
        <w:t>Under Ex Works, risk of loss or damage to the goods passes to the account holder when the goods are made available for collection at the distribution centre, whether or not the account holder's own carrier has yet arrived to collect them; the Company retains no obligation to load the carrier's vehicle unless the order acknowledgment says otherwise, and loading is provided as a courtesy where staff and equipment allow. Under Carriage Paid To, the Company arranges and pays the freight to the named destination, but risk still passes when the goods are handed to the first carrier, not on arrival; an account holder that wants risk to pass on arrival should ask for Delivered at Place rather than Carriage Paid To.</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vAlign w:val="bottom"/>
            <w:shd w:val="clear" w:color="auto" w:fill="D9D9D9"/>
          </w:tcPr>
          <w:p>
            <w:pPr>
              <w:spacing w:before="0" w:after="0"/>
            </w:pPr>
            <w:r/>
            <w:r>
              <w:rPr>
                <w:b/>
                <w:i w:val="0"/>
                <w:sz w:val="14"/>
              </w:rPr>
              <w:t>Rule</w:t>
            </w:r>
          </w:p>
        </w:tc>
        <w:tc>
          <w:tcPr>
            <w:tcW w:type="dxa" w:w="2381"/>
            <w:vAlign w:val="bottom"/>
            <w:shd w:val="clear" w:color="auto" w:fill="D9D9D9"/>
          </w:tcPr>
          <w:p>
            <w:pPr>
              <w:spacing w:before="0" w:after="0"/>
            </w:pPr>
            <w:r/>
            <w:r>
              <w:rPr>
                <w:b/>
                <w:i w:val="0"/>
                <w:sz w:val="14"/>
              </w:rPr>
              <w:t>Risk passes</w:t>
            </w:r>
          </w:p>
        </w:tc>
        <w:tc>
          <w:tcPr>
            <w:tcW w:type="dxa" w:w="2268"/>
            <w:vAlign w:val="bottom"/>
            <w:shd w:val="clear" w:color="auto" w:fill="D9D9D9"/>
          </w:tcPr>
          <w:p>
            <w:pPr>
              <w:spacing w:before="0" w:after="0"/>
            </w:pPr>
            <w:r/>
            <w:r>
              <w:rPr>
                <w:b/>
                <w:i w:val="0"/>
                <w:sz w:val="14"/>
              </w:rPr>
              <w:t>Who arranges freight</w:t>
            </w:r>
          </w:p>
        </w:tc>
        <w:tc>
          <w:tcPr>
            <w:tcW w:type="dxa" w:w="2268"/>
            <w:vAlign w:val="bottom"/>
            <w:shd w:val="clear" w:color="auto" w:fill="D9D9D9"/>
          </w:tcPr>
          <w:p>
            <w:pPr>
              <w:spacing w:before="0" w:after="0"/>
            </w:pPr>
            <w:r/>
            <w:r>
              <w:rPr>
                <w:b/>
                <w:i w:val="0"/>
                <w:sz w:val="14"/>
              </w:rPr>
              <w:t>Who pays freight</w:t>
            </w:r>
          </w:p>
        </w:tc>
      </w:tr>
      <w:tr>
        <w:tc>
          <w:tcPr>
            <w:tcW w:type="dxa" w:w="2494"/>
          </w:tcPr>
          <w:p>
            <w:pPr>
              <w:spacing w:before="0" w:after="0"/>
            </w:pPr>
            <w:r/>
            <w:r>
              <w:rPr>
                <w:b w:val="0"/>
                <w:i w:val="0"/>
                <w:sz w:val="16"/>
              </w:rPr>
              <w:t>Ex Works (default)</w:t>
            </w:r>
          </w:p>
        </w:tc>
        <w:tc>
          <w:tcPr>
            <w:tcW w:type="dxa" w:w="2381"/>
          </w:tcPr>
          <w:p>
            <w:pPr>
              <w:spacing w:before="0" w:after="0"/>
            </w:pPr>
            <w:r/>
            <w:r>
              <w:rPr>
                <w:b w:val="0"/>
                <w:i w:val="0"/>
                <w:sz w:val="16"/>
              </w:rPr>
              <w:t>On collection at the distribution centre</w:t>
            </w:r>
          </w:p>
        </w:tc>
        <w:tc>
          <w:tcPr>
            <w:tcW w:type="dxa" w:w="2268"/>
          </w:tcPr>
          <w:p>
            <w:pPr>
              <w:spacing w:before="0" w:after="0"/>
            </w:pPr>
            <w:r/>
            <w:r>
              <w:rPr>
                <w:b w:val="0"/>
                <w:i w:val="0"/>
                <w:sz w:val="16"/>
              </w:rPr>
              <w:t>Account holder</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Free Carrier</w:t>
            </w:r>
          </w:p>
        </w:tc>
        <w:tc>
          <w:tcPr>
            <w:tcW w:type="dxa" w:w="2381"/>
          </w:tcPr>
          <w:p>
            <w:pPr>
              <w:spacing w:before="0" w:after="0"/>
            </w:pPr>
            <w:r/>
            <w:r>
              <w:rPr>
                <w:b w:val="0"/>
                <w:i w:val="0"/>
                <w:sz w:val="16"/>
              </w:rPr>
              <w:t>On handover to the named carrier</w:t>
            </w:r>
          </w:p>
        </w:tc>
        <w:tc>
          <w:tcPr>
            <w:tcW w:type="dxa" w:w="2268"/>
          </w:tcPr>
          <w:p>
            <w:pPr>
              <w:spacing w:before="0" w:after="0"/>
            </w:pPr>
            <w:r/>
            <w:r>
              <w:rPr>
                <w:b w:val="0"/>
                <w:i w:val="0"/>
                <w:sz w:val="16"/>
              </w:rPr>
              <w:t>Account holder names the carrier; Company loads</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Carriage Paid To</w:t>
            </w:r>
          </w:p>
        </w:tc>
        <w:tc>
          <w:tcPr>
            <w:tcW w:type="dxa" w:w="2381"/>
          </w:tcPr>
          <w:p>
            <w:pPr>
              <w:spacing w:before="0" w:after="0"/>
            </w:pPr>
            <w:r/>
            <w:r>
              <w:rPr>
                <w:b w:val="0"/>
                <w:i w:val="0"/>
                <w:sz w:val="16"/>
              </w:rPr>
              <w:t>On handover to the first carrier</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to the named destination</w:t>
            </w:r>
          </w:p>
        </w:tc>
      </w:tr>
      <w:tr>
        <w:tc>
          <w:tcPr>
            <w:tcW w:type="dxa" w:w="2494"/>
          </w:tcPr>
          <w:p>
            <w:pPr>
              <w:spacing w:before="0" w:after="0"/>
            </w:pPr>
            <w:r/>
            <w:r>
              <w:rPr>
                <w:b w:val="0"/>
                <w:i w:val="0"/>
                <w:sz w:val="16"/>
              </w:rPr>
              <w:t>Delivered at Place</w:t>
            </w:r>
          </w:p>
        </w:tc>
        <w:tc>
          <w:tcPr>
            <w:tcW w:type="dxa" w:w="2381"/>
          </w:tcPr>
          <w:p>
            <w:pPr>
              <w:spacing w:before="0" w:after="0"/>
            </w:pPr>
            <w:r/>
            <w:r>
              <w:rPr>
                <w:b w:val="0"/>
                <w:i w:val="0"/>
                <w:sz w:val="16"/>
              </w:rPr>
              <w:t>On arrival at the named destination</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w:t>
            </w:r>
          </w:p>
        </w:tc>
      </w:tr>
      <w:tr>
        <w:tc>
          <w:tcPr>
            <w:tcW w:type="dxa" w:w="2494"/>
          </w:tcPr>
          <w:p>
            <w:pPr>
              <w:spacing w:before="0" w:after="0"/>
            </w:pPr>
            <w:r/>
            <w:r>
              <w:rPr>
                <w:b w:val="0"/>
                <w:i w:val="0"/>
                <w:sz w:val="16"/>
              </w:rPr>
              <w:t>Delivered Duty Paid (export shipments only)</w:t>
            </w:r>
          </w:p>
        </w:tc>
        <w:tc>
          <w:tcPr>
            <w:tcW w:type="dxa" w:w="2381"/>
          </w:tcPr>
          <w:p>
            <w:pPr>
              <w:spacing w:before="0" w:after="0"/>
            </w:pPr>
            <w:r/>
            <w:r>
              <w:rPr>
                <w:b w:val="0"/>
                <w:i w:val="0"/>
                <w:sz w:val="16"/>
              </w:rPr>
              <w:t>On arrival, duty paid</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including duty</w:t>
            </w:r>
          </w:p>
        </w:tc>
      </w:tr>
    </w:tbl>
    <w:p>
      <w:pPr>
        <w:spacing w:before="0" w:after="80"/>
      </w:pPr>
    </w:p>
    <w:p>
      <w:pPr>
        <w:spacing w:before="0" w:after="80" w:line="276" w:lineRule="auto"/>
      </w:pPr>
      <w:r>
        <w:rPr>
          <w:b w:val="0"/>
          <w:i w:val="0"/>
          <w:sz w:val="21"/>
        </w:rPr>
        <w:t>The rule used for a given account is recorded against the account and applied to every order unless the order itself states a different rule; a change to the rule used for an account is a change to the terms of sale and is agreed with the account manager rather than requested order by order. Freight charged separately from the goods, where the rule requires the account holder to pay it, appears as a separate line on the invoice and is not included in the price used to calculate a volume rebate or a pricing-tier threshold.</w:t>
      </w:r>
    </w:p>
    <w:p>
      <w:pPr>
        <w:spacing w:before="0" w:after="80" w:line="276" w:lineRule="auto"/>
      </w:pPr>
      <w:r>
        <w:rPr>
          <w:b w:val="0"/>
          <w:i w:val="0"/>
          <w:sz w:val="21"/>
        </w:rPr>
        <w:t>Delivered Duty Paid is offered only for shipments outside the customs territory in which the distribution centre is located, and only where the destination country's import requirements have been confirmed with the account holder in advance; it is not offered as a domestic rule, and a request to use it for a domestic shipment is treated as a request for Delivered at Place instead.</w:t>
      </w:r>
    </w:p>
    <w:p>
      <w:pPr>
        <w:spacing w:before="0" w:after="80" w:line="276" w:lineRule="auto"/>
      </w:pPr>
      <w:r>
        <w:rPr>
          <w:b w:val="0"/>
          <w:i w:val="0"/>
          <w:sz w:val="21"/>
        </w:rPr>
        <w:t>Where a shipment moves under a rule that puts responsibility for freight on the account holder and the account holder's nominated carrier fails to collect on the day scheduled, the goods remain the account holder's responsibility from the original collection window even though they are still physically at the distribution centre; storage beyond two working days from the missed collection may be charged at the distribution centre's standard handling rate.</w:t>
      </w:r>
    </w:p>
    <w:p>
      <w:pPr>
        <w:spacing w:before="0" w:after="80" w:line="276" w:lineRule="auto"/>
      </w:pPr>
      <w:r>
        <w:rPr>
          <w:b w:val="0"/>
          <w:i w:val="0"/>
          <w:sz w:val="21"/>
        </w:rPr>
        <w:t>A single order is shipped under one Incoterms rule; where an account holder wants part of an order handled under a different rule, for example a rush portion collected by its own carrier while the remainder moves under the account's standard arrangement, this is treated as two separate orders for shipping purposes even though they may appear together on one purchase order and one invoice.</w:t>
      </w:r>
    </w:p>
    <w:p>
      <w:pPr>
        <w:spacing w:before="0" w:after="80" w:line="276" w:lineRule="auto"/>
      </w:pPr>
      <w:r>
        <w:rPr>
          <w:b w:val="0"/>
          <w:i w:val="0"/>
          <w:sz w:val="21"/>
        </w:rPr>
        <w:t>An account holder that changes its preferred rule for future orders should confirm the change in writing rather than by a note on a single purchase order, since a rule recorded against the account is applied automatically to electronic orders placed through the web portal described in Section 2.8 and a one-off instruction on a single order does not update that default.</w:t>
      </w:r>
    </w:p>
    <w:p>
      <w:pPr>
        <w:spacing w:before="160" w:after="60" w:line="276" w:lineRule="auto"/>
      </w:pPr>
      <w:r>
        <w:rPr>
          <w:b/>
          <w:i w:val="0"/>
          <w:sz w:val="21"/>
        </w:rPr>
        <w:t>Annex A.2  Order Cut-off and Dispatch</w:t>
      </w:r>
    </w:p>
    <w:p>
      <w:pPr>
        <w:spacing w:before="0" w:after="80" w:line="276" w:lineRule="auto"/>
      </w:pPr>
      <w:r>
        <w:rPr>
          <w:b w:val="0"/>
          <w:i w:val="0"/>
          <w:sz w:val="21"/>
        </w:rPr>
        <w:t>An order received and fully released, meaning credit-approved and with stock available, before the cut-off time for its dispatch zone is picked and dispatched the same working day; an order released after the cut-off is dispatched the following working day. The cut-off is measured against the time the order is released, not the time it was placed, so an order held for a credit check or for a purchase-order number is dispatched from the day it clears rather than the day it was entered.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Dispatch zone</w:t>
            </w:r>
          </w:p>
        </w:tc>
        <w:tc>
          <w:tcPr>
            <w:tcW w:type="dxa" w:w="3061"/>
            <w:vAlign w:val="bottom"/>
            <w:shd w:val="clear" w:color="auto" w:fill="D9D9D9"/>
          </w:tcPr>
          <w:p>
            <w:pPr>
              <w:spacing w:before="0" w:after="0"/>
            </w:pPr>
            <w:r/>
            <w:r>
              <w:rPr>
                <w:b/>
                <w:i w:val="0"/>
                <w:sz w:val="14"/>
              </w:rPr>
              <w:t>Cut-off (local time)</w:t>
            </w:r>
          </w:p>
        </w:tc>
        <w:tc>
          <w:tcPr>
            <w:tcW w:type="dxa" w:w="2948"/>
            <w:vAlign w:val="bottom"/>
            <w:shd w:val="clear" w:color="auto" w:fill="D9D9D9"/>
          </w:tcPr>
          <w:p>
            <w:pPr>
              <w:spacing w:before="0" w:after="0"/>
            </w:pPr>
            <w:r/>
            <w:r>
              <w:rPr>
                <w:b/>
                <w:i w:val="0"/>
                <w:sz w:val="14"/>
              </w:rPr>
              <w:t>Typical transit</w:t>
            </w:r>
          </w:p>
        </w:tc>
      </w:tr>
      <w:tr>
        <w:tc>
          <w:tcPr>
            <w:tcW w:type="dxa" w:w="3402"/>
          </w:tcPr>
          <w:p>
            <w:pPr>
              <w:spacing w:before="0" w:after="0"/>
            </w:pPr>
            <w:r/>
            <w:r>
              <w:rPr>
                <w:b w:val="0"/>
                <w:i w:val="0"/>
                <w:sz w:val="16"/>
              </w:rPr>
              <w:t>Zone 1 (metro area around the distribution centre)</w:t>
            </w:r>
          </w:p>
        </w:tc>
        <w:tc>
          <w:tcPr>
            <w:tcW w:type="dxa" w:w="3061"/>
          </w:tcPr>
          <w:p>
            <w:pPr>
              <w:spacing w:before="0" w:after="0"/>
            </w:pPr>
            <w:r/>
            <w:r>
              <w:rPr>
                <w:b w:val="0"/>
                <w:i w:val="0"/>
                <w:sz w:val="16"/>
              </w:rPr>
              <w:t>3:00 p.m.</w:t>
            </w:r>
          </w:p>
        </w:tc>
        <w:tc>
          <w:tcPr>
            <w:tcW w:type="dxa" w:w="2948"/>
          </w:tcPr>
          <w:p>
            <w:pPr>
              <w:spacing w:before="0" w:after="0"/>
            </w:pPr>
            <w:r/>
            <w:r>
              <w:rPr>
                <w:b w:val="0"/>
                <w:i w:val="0"/>
                <w:sz w:val="16"/>
              </w:rPr>
              <w:t>Same to next working day</w:t>
            </w:r>
          </w:p>
        </w:tc>
      </w:tr>
      <w:tr>
        <w:tc>
          <w:tcPr>
            <w:tcW w:type="dxa" w:w="3402"/>
          </w:tcPr>
          <w:p>
            <w:pPr>
              <w:spacing w:before="0" w:after="0"/>
            </w:pPr>
            <w:r/>
            <w:r>
              <w:rPr>
                <w:b w:val="0"/>
                <w:i w:val="0"/>
                <w:sz w:val="16"/>
              </w:rPr>
              <w:t>Zone 2 (remainder of the home state)</w:t>
            </w:r>
          </w:p>
        </w:tc>
        <w:tc>
          <w:tcPr>
            <w:tcW w:type="dxa" w:w="3061"/>
          </w:tcPr>
          <w:p>
            <w:pPr>
              <w:spacing w:before="0" w:after="0"/>
            </w:pPr>
            <w:r/>
            <w:r>
              <w:rPr>
                <w:b w:val="0"/>
                <w:i w:val="0"/>
                <w:sz w:val="16"/>
              </w:rPr>
              <w:t>1:00 p.m.</w:t>
            </w:r>
          </w:p>
        </w:tc>
        <w:tc>
          <w:tcPr>
            <w:tcW w:type="dxa" w:w="2948"/>
          </w:tcPr>
          <w:p>
            <w:pPr>
              <w:spacing w:before="0" w:after="0"/>
            </w:pPr>
            <w:r/>
            <w:r>
              <w:rPr>
                <w:b w:val="0"/>
                <w:i w:val="0"/>
                <w:sz w:val="16"/>
              </w:rPr>
              <w:t>1 to 2 working days</w:t>
            </w:r>
          </w:p>
        </w:tc>
      </w:tr>
      <w:tr>
        <w:tc>
          <w:tcPr>
            <w:tcW w:type="dxa" w:w="3402"/>
          </w:tcPr>
          <w:p>
            <w:pPr>
              <w:spacing w:before="0" w:after="0"/>
            </w:pPr>
            <w:r/>
            <w:r>
              <w:rPr>
                <w:b w:val="0"/>
                <w:i w:val="0"/>
                <w:sz w:val="16"/>
              </w:rPr>
              <w:t>Zone 3 (adjoining states)</w:t>
            </w:r>
          </w:p>
        </w:tc>
        <w:tc>
          <w:tcPr>
            <w:tcW w:type="dxa" w:w="3061"/>
          </w:tcPr>
          <w:p>
            <w:pPr>
              <w:spacing w:before="0" w:after="0"/>
            </w:pPr>
            <w:r/>
            <w:r>
              <w:rPr>
                <w:b w:val="0"/>
                <w:i w:val="0"/>
                <w:sz w:val="16"/>
              </w:rPr>
              <w:t>12:00 p.m.</w:t>
            </w:r>
          </w:p>
        </w:tc>
        <w:tc>
          <w:tcPr>
            <w:tcW w:type="dxa" w:w="2948"/>
          </w:tcPr>
          <w:p>
            <w:pPr>
              <w:spacing w:before="0" w:after="0"/>
            </w:pPr>
            <w:r/>
            <w:r>
              <w:rPr>
                <w:b w:val="0"/>
                <w:i w:val="0"/>
                <w:sz w:val="16"/>
              </w:rPr>
              <w:t>2 to 3 working days</w:t>
            </w:r>
          </w:p>
        </w:tc>
      </w:tr>
      <w:tr>
        <w:tc>
          <w:tcPr>
            <w:tcW w:type="dxa" w:w="3402"/>
          </w:tcPr>
          <w:p>
            <w:pPr>
              <w:spacing w:before="0" w:after="0"/>
            </w:pPr>
            <w:r/>
            <w:r>
              <w:rPr>
                <w:b w:val="0"/>
                <w:i w:val="0"/>
                <w:sz w:val="16"/>
              </w:rPr>
              <w:t>Zone 4 (remainder of the continental service area)</w:t>
            </w:r>
          </w:p>
        </w:tc>
        <w:tc>
          <w:tcPr>
            <w:tcW w:type="dxa" w:w="3061"/>
          </w:tcPr>
          <w:p>
            <w:pPr>
              <w:spacing w:before="0" w:after="0"/>
            </w:pPr>
            <w:r/>
            <w:r>
              <w:rPr>
                <w:b w:val="0"/>
                <w:i w:val="0"/>
                <w:sz w:val="16"/>
              </w:rPr>
              <w:t>11:00 a.m.</w:t>
            </w:r>
          </w:p>
        </w:tc>
        <w:tc>
          <w:tcPr>
            <w:tcW w:type="dxa" w:w="2948"/>
          </w:tcPr>
          <w:p>
            <w:pPr>
              <w:spacing w:before="0" w:after="0"/>
            </w:pPr>
            <w:r/>
            <w:r>
              <w:rPr>
                <w:b w:val="0"/>
                <w:i w:val="0"/>
                <w:sz w:val="16"/>
              </w:rPr>
              <w:t>3 to 5 working days</w:t>
            </w:r>
          </w:p>
        </w:tc>
      </w:tr>
      <w:tr>
        <w:tc>
          <w:tcPr>
            <w:tcW w:type="dxa" w:w="3402"/>
          </w:tcPr>
          <w:p>
            <w:pPr>
              <w:spacing w:before="0" w:after="0"/>
            </w:pPr>
            <w:r/>
            <w:r>
              <w:rPr>
                <w:b w:val="0"/>
                <w:i w:val="0"/>
                <w:sz w:val="16"/>
              </w:rPr>
              <w:t>Will-call collection</w:t>
            </w:r>
          </w:p>
        </w:tc>
        <w:tc>
          <w:tcPr>
            <w:tcW w:type="dxa" w:w="3061"/>
          </w:tcPr>
          <w:p>
            <w:pPr>
              <w:spacing w:before="0" w:after="0"/>
            </w:pPr>
            <w:r/>
            <w:r>
              <w:rPr>
                <w:b w:val="0"/>
                <w:i w:val="0"/>
                <w:sz w:val="16"/>
              </w:rPr>
              <w:t>4:30 p.m.</w:t>
            </w:r>
          </w:p>
        </w:tc>
        <w:tc>
          <w:tcPr>
            <w:tcW w:type="dxa" w:w="2948"/>
          </w:tcPr>
          <w:p>
            <w:pPr>
              <w:spacing w:before="0" w:after="0"/>
            </w:pPr>
            <w:r/>
            <w:r>
              <w:rPr>
                <w:b w:val="0"/>
                <w:i w:val="0"/>
                <w:sz w:val="16"/>
              </w:rPr>
              <w:t>Same working day</w:t>
            </w:r>
          </w:p>
        </w:tc>
      </w:tr>
    </w:tbl>
    <w:p>
      <w:pPr>
        <w:spacing w:before="0" w:after="80"/>
      </w:pPr>
    </w:p>
    <w:p>
      <w:pPr>
        <w:spacing w:before="0" w:after="80" w:line="276" w:lineRule="auto"/>
      </w:pPr>
      <w:r>
        <w:rPr>
          <w:b w:val="0"/>
          <w:i w:val="0"/>
          <w:sz w:val="21"/>
        </w:rPr>
        <w:t>A line that is out of stock at the distribution centre nearest the account is sourced from the next nearest location automatically where doing so does not add more than one working day to the transit shown above; where it would add more, the account manager contacts the account holder to offer a partial dispatch of the remaining lines, a wait for the full order, or a substitute part number where one exists.</w:t>
      </w:r>
    </w:p>
    <w:p>
      <w:pPr>
        <w:spacing w:before="0" w:after="80" w:line="276" w:lineRule="auto"/>
      </w:pPr>
      <w:r>
        <w:rPr>
          <w:b w:val="0"/>
          <w:i w:val="0"/>
          <w:sz w:val="21"/>
        </w:rPr>
        <w:t>The cut-off times in the table above are the ones published to the account management team and used for planning; the online order status shown to an account holder reflects the carrier's own scan events once the shipment has left the distribution centre and can lag the physical dispatch by several hours, particularly at the end of a peak shipping day.</w:t>
      </w:r>
    </w:p>
    <w:p>
      <w:pPr>
        <w:spacing w:before="0" w:after="80" w:line="276" w:lineRule="auto"/>
      </w:pPr>
      <w:r>
        <w:rPr>
          <w:b w:val="0"/>
          <w:i w:val="0"/>
          <w:sz w:val="21"/>
        </w:rPr>
        <w:t>A recurring order placed under a standing schedule, for example under the vendor-managed inventory programme described in Section 7.7, follows the replenishment calendar agreed for that programme rather than the general cut-off times in the table above; the two schedules are set independently and a change to one does not automatically change the other.</w:t>
      </w:r>
    </w:p>
    <w:p>
      <w:pPr>
        <w:spacing w:before="160" w:after="60" w:line="276" w:lineRule="auto"/>
      </w:pPr>
      <w:r>
        <w:rPr>
          <w:b/>
          <w:i w:val="0"/>
          <w:sz w:val="21"/>
        </w:rPr>
        <w:t>Annex A.3  Carrier Selection</w:t>
      </w:r>
    </w:p>
    <w:p>
      <w:pPr>
        <w:spacing w:before="0" w:after="80" w:line="276" w:lineRule="auto"/>
      </w:pPr>
      <w:r>
        <w:rPr>
          <w:b w:val="0"/>
          <w:i w:val="0"/>
          <w:sz w:val="21"/>
        </w:rPr>
        <w:t>Where the Company arranges freight, it selects the carrier from its own approved list based on the dispatch zone, the weight and dimensions of the shipment, and any handling the goods require, including the requirements described in Annex A.6 below for hazardous goods and lithium batteries. An account holder does not choose the carrier for a shipment arranged under Carriage Paid To, Delivered at Place or Delivered Duty Paid, although a request for a specific carrier is considered where the account holder has a standing account with that carrier that offers a materially better rate or service.</w:t>
      </w:r>
    </w:p>
    <w:p>
      <w:pPr>
        <w:spacing w:before="0" w:after="80" w:line="276" w:lineRule="auto"/>
      </w:pPr>
      <w:r>
        <w:rPr>
          <w:b w:val="0"/>
          <w:i w:val="0"/>
          <w:sz w:val="21"/>
        </w:rPr>
        <w:t>Where the account holder arranges freight, under Ex Works or Free Carrier, it names the carrier on the order or provides standing routing instructions to the account manager, and it is responsible for booking the collection within the window the distribution centre offers; a carrier that fails to collect within that window may find the goods rescheduled for the next available slot rather than held indefinitely on the dock.</w:t>
      </w:r>
    </w:p>
    <w:p>
      <w:pPr>
        <w:spacing w:before="0" w:after="60" w:line="276" w:lineRule="auto"/>
        <w:ind w:left="340" w:hanging="340"/>
      </w:pPr>
      <w:r>
        <w:rPr>
          <w:b w:val="0"/>
          <w:i w:val="0"/>
          <w:sz w:val="21"/>
        </w:rPr>
        <w:t>•</w:t>
        <w:tab/>
        <w:t>A collection reference matching the order or a bill of lading number provided in advance.</w:t>
      </w:r>
    </w:p>
    <w:p>
      <w:pPr>
        <w:spacing w:before="0" w:after="60" w:line="276" w:lineRule="auto"/>
        <w:ind w:left="340" w:hanging="340"/>
      </w:pPr>
      <w:r>
        <w:rPr>
          <w:b w:val="0"/>
          <w:i w:val="0"/>
          <w:sz w:val="21"/>
        </w:rPr>
        <w:t>•</w:t>
        <w:tab/>
        <w:t>Identification of the driver consistent with the carrier named on the order.</w:t>
      </w:r>
    </w:p>
    <w:p>
      <w:pPr>
        <w:spacing w:before="0" w:after="60" w:line="276" w:lineRule="auto"/>
        <w:ind w:left="340" w:hanging="340"/>
      </w:pPr>
      <w:r>
        <w:rPr>
          <w:b w:val="0"/>
          <w:i w:val="0"/>
          <w:sz w:val="21"/>
        </w:rPr>
        <w:t>•</w:t>
        <w:tab/>
        <w:t>Equipment suitable for the freight class and packaging of the goods being collected.</w:t>
      </w:r>
    </w:p>
    <w:p>
      <w:pPr>
        <w:spacing w:before="0" w:after="80" w:line="276" w:lineRule="auto"/>
      </w:pPr>
      <w:r>
        <w:rPr>
          <w:b w:val="0"/>
          <w:i w:val="0"/>
          <w:sz w:val="21"/>
        </w:rPr>
        <w:t>A carrier substitution made by the Company because an approved carrier has no capacity on a given day does not change the Incoterms rule or the transit expectation in Annex A.2 above; where a substitution is expected to add more than one working day to the transit, the account manager notifies the account holder before the shipment is dispatched rather than after it has already been delayed.</w:t>
      </w:r>
    </w:p>
    <w:p>
      <w:pPr>
        <w:spacing w:before="0" w:after="80" w:line="276" w:lineRule="auto"/>
      </w:pPr>
      <w:r>
        <w:rPr>
          <w:b w:val="0"/>
          <w:i w:val="0"/>
          <w:sz w:val="21"/>
        </w:rPr>
        <w:t>The Company's approved carrier list is reviewed each year against service performance, claims experience and coverage of the zones described in Annex A.2 above; a carrier that is removed from the list during the life of an account does not affect any freight rate already quoted for an order in progress, but does apply to an order placed after the change takes effect.</w:t>
      </w:r>
    </w:p>
    <w:p>
      <w:pPr>
        <w:spacing w:before="160" w:after="60" w:line="276" w:lineRule="auto"/>
      </w:pPr>
      <w:r>
        <w:rPr>
          <w:b/>
          <w:i w:val="0"/>
          <w:sz w:val="21"/>
        </w:rPr>
        <w:t>Annex A.4  Freight Claims for Loss or Damage</w:t>
      </w:r>
    </w:p>
    <w:p>
      <w:pPr>
        <w:spacing w:before="0" w:after="80" w:line="276" w:lineRule="auto"/>
      </w:pPr>
      <w:r>
        <w:rPr>
          <w:b w:val="0"/>
          <w:i w:val="0"/>
          <w:sz w:val="21"/>
        </w:rPr>
        <w:t>A shipment that arrives short, damaged or not at all is a claim against the carrier in the first instance where the account holder arranged the freight, and a claim the Company pursues on the account holder's behalf where the Company arranged the freight; in both cases, the evidence described below needs to be captured close to the time of delivery, since a carrier's own claims process is far less likely to succeed once the exception has not been noted at the time.</w:t>
      </w:r>
    </w:p>
    <w:p>
      <w:pPr>
        <w:spacing w:before="0" w:after="80" w:line="276" w:lineRule="auto"/>
      </w:pPr>
      <w:r>
        <w:rPr>
          <w:b w:val="0"/>
          <w:i w:val="0"/>
          <w:sz w:val="21"/>
        </w:rPr>
        <w:t>Visible damage or a shortage apparent on delivery must be noted on the delivery receipt before the driver leaves, with a description of the damage or the quantity short, and photographed before the packaging is disturbed further than necessary to see the damage; a signature for the delivery without an exception noted is treated by most carriers as acceptance of the shipment as delivered, regardless of what is found later. Concealed damage, not apparent until the packaging is opened, must be reported within the time limit in the table below, and the damaged goods and their packaging kept until the claim is resolved or the carrier inspects them.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Type of exception</w:t>
            </w:r>
          </w:p>
        </w:tc>
        <w:tc>
          <w:tcPr>
            <w:tcW w:type="dxa" w:w="2608"/>
            <w:vAlign w:val="bottom"/>
            <w:shd w:val="clear" w:color="auto" w:fill="D9D9D9"/>
          </w:tcPr>
          <w:p>
            <w:pPr>
              <w:spacing w:before="0" w:after="0"/>
            </w:pPr>
            <w:r/>
            <w:r>
              <w:rPr>
                <w:b/>
                <w:i w:val="0"/>
                <w:sz w:val="14"/>
              </w:rPr>
              <w:t>Time limit to report</w:t>
            </w:r>
          </w:p>
        </w:tc>
        <w:tc>
          <w:tcPr>
            <w:tcW w:type="dxa" w:w="3402"/>
            <w:vAlign w:val="bottom"/>
            <w:shd w:val="clear" w:color="auto" w:fill="D9D9D9"/>
          </w:tcPr>
          <w:p>
            <w:pPr>
              <w:spacing w:before="0" w:after="0"/>
            </w:pPr>
            <w:r/>
            <w:r>
              <w:rPr>
                <w:b/>
                <w:i w:val="0"/>
                <w:sz w:val="14"/>
              </w:rPr>
              <w:t>Evidence needed</w:t>
            </w:r>
          </w:p>
        </w:tc>
      </w:tr>
      <w:tr>
        <w:tc>
          <w:tcPr>
            <w:tcW w:type="dxa" w:w="3402"/>
          </w:tcPr>
          <w:p>
            <w:pPr>
              <w:spacing w:before="0" w:after="0"/>
            </w:pPr>
            <w:r/>
            <w:r>
              <w:rPr>
                <w:b w:val="0"/>
                <w:i w:val="0"/>
                <w:sz w:val="16"/>
              </w:rPr>
              <w:t>Visible damage or shortage, noted on delivery</w:t>
            </w:r>
          </w:p>
        </w:tc>
        <w:tc>
          <w:tcPr>
            <w:tcW w:type="dxa" w:w="2608"/>
          </w:tcPr>
          <w:p>
            <w:pPr>
              <w:spacing w:before="0" w:after="0"/>
            </w:pPr>
            <w:r/>
            <w:r>
              <w:rPr>
                <w:b w:val="0"/>
                <w:i w:val="0"/>
                <w:sz w:val="16"/>
              </w:rPr>
              <w:t>Noted on the delivery receipt at the time</w:t>
            </w:r>
          </w:p>
        </w:tc>
        <w:tc>
          <w:tcPr>
            <w:tcW w:type="dxa" w:w="3402"/>
          </w:tcPr>
          <w:p>
            <w:pPr>
              <w:spacing w:before="0" w:after="0"/>
            </w:pPr>
            <w:r/>
            <w:r>
              <w:rPr>
                <w:b w:val="0"/>
                <w:i w:val="0"/>
                <w:sz w:val="16"/>
              </w:rPr>
              <w:t>Annotated receipt; photographs</w:t>
            </w:r>
          </w:p>
        </w:tc>
      </w:tr>
      <w:tr>
        <w:tc>
          <w:tcPr>
            <w:tcW w:type="dxa" w:w="3402"/>
          </w:tcPr>
          <w:p>
            <w:pPr>
              <w:spacing w:before="0" w:after="0"/>
            </w:pPr>
            <w:r/>
            <w:r>
              <w:rPr>
                <w:b w:val="0"/>
                <w:i w:val="0"/>
                <w:sz w:val="16"/>
              </w:rPr>
              <w:t>Concealed damage, found after unpacking</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Photographs; original packaging retained; carrier inspection if requested</w:t>
            </w:r>
          </w:p>
        </w:tc>
      </w:tr>
      <w:tr>
        <w:tc>
          <w:tcPr>
            <w:tcW w:type="dxa" w:w="3402"/>
          </w:tcPr>
          <w:p>
            <w:pPr>
              <w:spacing w:before="0" w:after="0"/>
            </w:pPr>
            <w:r/>
            <w:r>
              <w:rPr>
                <w:b w:val="0"/>
                <w:i w:val="0"/>
                <w:sz w:val="16"/>
              </w:rPr>
              <w:t>Non-delivery of a shipment showing as delivered</w:t>
            </w:r>
          </w:p>
        </w:tc>
        <w:tc>
          <w:tcPr>
            <w:tcW w:type="dxa" w:w="2608"/>
          </w:tcPr>
          <w:p>
            <w:pPr>
              <w:spacing w:before="0" w:after="0"/>
            </w:pPr>
            <w:r/>
            <w:r>
              <w:rPr>
                <w:b w:val="0"/>
                <w:i w:val="0"/>
                <w:sz w:val="16"/>
              </w:rPr>
              <w:t>10 calendar days from the delivery date shown by the carrier</w:t>
            </w:r>
          </w:p>
        </w:tc>
        <w:tc>
          <w:tcPr>
            <w:tcW w:type="dxa" w:w="3402"/>
          </w:tcPr>
          <w:p>
            <w:pPr>
              <w:spacing w:before="0" w:after="0"/>
            </w:pPr>
            <w:r/>
            <w:r>
              <w:rPr>
                <w:b w:val="0"/>
                <w:i w:val="0"/>
                <w:sz w:val="16"/>
              </w:rPr>
              <w:t>Signed statement that the goods were not received</w:t>
            </w:r>
          </w:p>
        </w:tc>
      </w:tr>
      <w:tr>
        <w:tc>
          <w:tcPr>
            <w:tcW w:type="dxa" w:w="3402"/>
          </w:tcPr>
          <w:p>
            <w:pPr>
              <w:spacing w:before="0" w:after="0"/>
            </w:pPr>
            <w:r/>
            <w:r>
              <w:rPr>
                <w:b w:val="0"/>
                <w:i w:val="0"/>
                <w:sz w:val="16"/>
              </w:rPr>
              <w:t>Non-delivery of a shipment with no delivery scan</w:t>
            </w:r>
          </w:p>
        </w:tc>
        <w:tc>
          <w:tcPr>
            <w:tcW w:type="dxa" w:w="2608"/>
          </w:tcPr>
          <w:p>
            <w:pPr>
              <w:spacing w:before="0" w:after="0"/>
            </w:pPr>
            <w:r/>
            <w:r>
              <w:rPr>
                <w:b w:val="0"/>
                <w:i w:val="0"/>
                <w:sz w:val="16"/>
              </w:rPr>
              <w:t>30 calendar days from dispatch</w:t>
            </w:r>
          </w:p>
        </w:tc>
        <w:tc>
          <w:tcPr>
            <w:tcW w:type="dxa" w:w="3402"/>
          </w:tcPr>
          <w:p>
            <w:pPr>
              <w:spacing w:before="0" w:after="0"/>
            </w:pPr>
            <w:r/>
            <w:r>
              <w:rPr>
                <w:b w:val="0"/>
                <w:i w:val="0"/>
                <w:sz w:val="16"/>
              </w:rPr>
              <w:t>Trace request result from the carrier</w:t>
            </w:r>
          </w:p>
        </w:tc>
      </w:tr>
      <w:tr>
        <w:tc>
          <w:tcPr>
            <w:tcW w:type="dxa" w:w="3402"/>
          </w:tcPr>
          <w:p>
            <w:pPr>
              <w:spacing w:before="0" w:after="0"/>
            </w:pPr>
            <w:r/>
            <w:r>
              <w:rPr>
                <w:b w:val="0"/>
                <w:i w:val="0"/>
                <w:sz w:val="16"/>
              </w:rPr>
              <w:t>Shortage discovered against a multi-carton shipment</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Carton count and weight compared with the packing list</w:t>
            </w:r>
          </w:p>
        </w:tc>
      </w:tr>
    </w:tbl>
    <w:p>
      <w:pPr>
        <w:spacing w:before="0" w:after="80"/>
      </w:pPr>
    </w:p>
    <w:p>
      <w:pPr>
        <w:spacing w:before="0" w:after="60" w:line="276" w:lineRule="auto"/>
        <w:ind w:left="454" w:hanging="454"/>
      </w:pPr>
      <w:r>
        <w:rPr>
          <w:b w:val="0"/>
          <w:i w:val="0"/>
          <w:sz w:val="21"/>
        </w:rPr>
        <w:t>1.</w:t>
        <w:tab/>
        <w:t>Notify the account manager or customer service with the invoice number, the exception type and the evidence described above.</w:t>
      </w:r>
    </w:p>
    <w:p>
      <w:pPr>
        <w:spacing w:before="0" w:after="60" w:line="276" w:lineRule="auto"/>
        <w:ind w:left="454" w:hanging="454"/>
      </w:pPr>
      <w:r>
        <w:rPr>
          <w:b w:val="0"/>
          <w:i w:val="0"/>
          <w:sz w:val="21"/>
        </w:rPr>
        <w:t>2.</w:t>
        <w:tab/>
        <w:t>Customer service opens a claim with the carrier where the Company arranged the freight, or confirms the claim reference where the account holder has opened one directly.</w:t>
      </w:r>
    </w:p>
    <w:p>
      <w:pPr>
        <w:spacing w:before="0" w:after="60" w:line="276" w:lineRule="auto"/>
        <w:ind w:left="454" w:hanging="454"/>
      </w:pPr>
      <w:r>
        <w:rPr>
          <w:b w:val="0"/>
          <w:i w:val="0"/>
          <w:sz w:val="21"/>
        </w:rPr>
        <w:t>3.</w:t>
        <w:tab/>
        <w:t>The carrier's own investigation period applies, typically several weeks for a concealed-damage or non-delivery claim; the Company cannot shorten it.</w:t>
      </w:r>
    </w:p>
    <w:p>
      <w:pPr>
        <w:spacing w:before="0" w:after="60" w:line="276" w:lineRule="auto"/>
        <w:ind w:left="454" w:hanging="454"/>
      </w:pPr>
      <w:r>
        <w:rPr>
          <w:b w:val="0"/>
          <w:i w:val="0"/>
          <w:sz w:val="21"/>
        </w:rPr>
        <w:t>4.</w:t>
        <w:tab/>
        <w:t>A claim upheld by the carrier is credited to the account or, for goods still needed, replaced and invoiced separately pending the credit.</w:t>
      </w:r>
    </w:p>
    <w:p>
      <w:pPr>
        <w:spacing w:before="0" w:after="60" w:line="276" w:lineRule="auto"/>
        <w:ind w:left="454" w:hanging="454"/>
      </w:pPr>
      <w:r>
        <w:rPr>
          <w:b w:val="0"/>
          <w:i w:val="0"/>
          <w:sz w:val="21"/>
        </w:rPr>
        <w:t>5.</w:t>
        <w:tab/>
        <w:t>A claim declined by the carrier is reviewed once by the account manager for an alternative resolution before the account holder is asked to absorb the loss.</w:t>
      </w:r>
    </w:p>
    <w:p>
      <w:pPr>
        <w:spacing w:before="0" w:after="80" w:line="276" w:lineRule="auto"/>
      </w:pPr>
      <w:r>
        <w:rPr>
          <w:b w:val="0"/>
          <w:i w:val="0"/>
          <w:sz w:val="21"/>
        </w:rPr>
        <w:t>A claim is pursued against the carrier regardless of whether the goods were insured separately by the account holder for the movement; cargo insurance taken out by the account holder pays out under its own terms and does not depend on the outcome of the carrier's investigation, although an account holder that recovers under both a carrier claim and its own insurance for the same loss is expected to reconcile the two rather than retain a double recovery.</w:t>
      </w:r>
    </w:p>
    <w:p>
      <w:pPr>
        <w:spacing w:before="0" w:after="80" w:line="276" w:lineRule="auto"/>
      </w:pPr>
      <w:r>
        <w:rPr>
          <w:b w:val="0"/>
          <w:i w:val="0"/>
          <w:sz w:val="21"/>
        </w:rPr>
        <w:t>A claim for a shipment moving under a rule that puts risk on the account holder before the loss occurred, such as Ex Works, is pursued by the account holder directly against its own carrier, and the Company's role is limited to providing the invoice, the packing list and any inspection records the carrier reasonably requests to support that claim.</w:t>
      </w:r>
    </w:p>
    <w:p>
      <w:pPr>
        <w:spacing w:before="0" w:after="80" w:line="276" w:lineRule="auto"/>
      </w:pPr>
      <w:r>
        <w:rPr>
          <w:b w:val="0"/>
          <w:i w:val="0"/>
          <w:sz w:val="21"/>
        </w:rPr>
        <w:t>None of the time limits in this section extend the period within which an invoice dispute must be raised under Section 9.1; a freight claim and an invoice dispute are handled on separate tracks and raising one does not pause the other, so an account holder pursuing a damage claim should still raise any related invoice dispute within its own time limit if it wants both resolved together.</w:t>
      </w:r>
    </w:p>
    <w:p>
      <w:pPr>
        <w:spacing w:before="0" w:after="80" w:line="276" w:lineRule="auto"/>
      </w:pPr>
      <w:r>
        <w:rPr>
          <w:b w:val="0"/>
          <w:i w:val="0"/>
          <w:sz w:val="21"/>
        </w:rPr>
        <w:t>A claim above the value that requires notice to the Company's own insurer under its receivables cover is flagged automatically by customer service, and the account holder may be asked for additional supporting evidence beyond that described in the table above so that the notice to the insurer can be completed; this additional request does not itself indicate any doubt about the claim.</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will confirm that a freight claim has been opened with the carrier for the shipment referenced on your recent notice of damage or shortage. The claim reference has been recorded against your account, and the carrier's investigation is now underway.</w:t>
      </w:r>
    </w:p>
    <w:p>
      <w:pPr>
        <w:spacing w:before="0" w:after="120" w:line="276" w:lineRule="auto"/>
      </w:pPr>
      <w:r>
        <w:rPr>
          <w:b w:val="0"/>
          <w:i w:val="0"/>
          <w:sz w:val="21"/>
        </w:rPr>
        <w:t>Please retain the damaged goods and their original packaging until the carrier confirms that an inspection is not required, since a claim can be declined where the goods are disposed of before that confirmation is given.</w:t>
      </w:r>
    </w:p>
    <w:p>
      <w:pPr>
        <w:spacing w:before="0" w:after="120" w:line="276" w:lineRule="auto"/>
      </w:pPr>
      <w:r>
        <w:rPr>
          <w:b w:val="0"/>
          <w:i w:val="0"/>
          <w:sz w:val="21"/>
        </w:rPr>
        <w:t>We will update your account manager as soon as the carrier reaches a decision. If the goods are needed urgently, a replacement can be invoiced separately while the claim is pending, to be credited if the claim is upheld.</w:t>
      </w:r>
    </w:p>
    <w:p>
      <w:pPr>
        <w:spacing w:before="0" w:after="120" w:line="276" w:lineRule="auto"/>
      </w:pPr>
      <w:r>
        <w:rPr>
          <w:b w:val="0"/>
          <w:i w:val="0"/>
          <w:sz w:val="21"/>
        </w:rPr>
        <w:t>Yours faithfully,</w:t>
      </w:r>
    </w:p>
    <w:p>
      <w:pPr>
        <w:spacing w:before="0" w:after="120" w:line="276" w:lineRule="auto"/>
      </w:pPr>
      <w:r>
        <w:rPr>
          <w:b w:val="0"/>
          <w:i w:val="0"/>
          <w:sz w:val="21"/>
        </w:rPr>
        <w:t>David Ferris</w:t>
      </w:r>
    </w:p>
    <w:p>
      <w:pPr>
        <w:spacing w:before="0" w:after="120" w:line="276" w:lineRule="auto"/>
      </w:pPr>
      <w:r>
        <w:rPr>
          <w:b w:val="0"/>
          <w:i w:val="0"/>
          <w:sz w:val="21"/>
        </w:rPr>
        <w:t>Logistics Coordinator</w:t>
      </w:r>
    </w:p>
    <w:p>
      <w:pPr>
        <w:spacing w:before="160" w:after="60" w:line="276" w:lineRule="auto"/>
      </w:pPr>
      <w:r>
        <w:rPr>
          <w:b/>
          <w:i w:val="0"/>
          <w:sz w:val="21"/>
        </w:rPr>
        <w:t>Annex A.5  Return Merchandise Authorisation (RMA) Procedure and Restocking</w:t>
      </w:r>
    </w:p>
    <w:p>
      <w:pPr>
        <w:spacing w:before="0" w:after="80" w:line="276" w:lineRule="auto"/>
      </w:pPr>
      <w:r>
        <w:rPr>
          <w:b w:val="0"/>
          <w:i w:val="0"/>
          <w:sz w:val="21"/>
        </w:rPr>
        <w:t>Goods may not be returned to the Company without a return merchandise authorisation issued in advance; goods received without one are held at the distribution centre pending identification and are not credited until an authorisation is retrospectively issued, which delays the credit and is charged the same handling fee as a return authorised in advance. A request for authorisation is made to customer service with the original invoice number, the part number and quantity to be returned, and the reason for the return.</w:t>
      </w:r>
    </w:p>
    <w:p>
      <w:pPr>
        <w:spacing w:before="0" w:after="80" w:line="276" w:lineRule="auto"/>
      </w:pPr>
      <w:r>
        <w:rPr>
          <w:b w:val="0"/>
          <w:i w:val="0"/>
          <w:sz w:val="21"/>
        </w:rPr>
        <w:t>Standard stocked items in resaleable condition, in the original packaging and returned within the period shown below, are accepted subject to the restocking charge in the same table; special order items, cut-to-length goods, kitted assemblies built to the account holder's specification, and any item marked non-returnable on the order acknowledgment are not eligible for return except where the return is the result of the Company's own error, in which case no restocking charge applies.</w:t>
      </w:r>
    </w:p>
    <w:p>
      <w:pPr>
        <w:spacing w:before="0" w:after="60" w:line="276" w:lineRule="auto"/>
        <w:ind w:left="454" w:hanging="454"/>
      </w:pPr>
      <w:r>
        <w:rPr>
          <w:b w:val="0"/>
          <w:i w:val="0"/>
          <w:sz w:val="21"/>
        </w:rPr>
        <w:t>1.</w:t>
        <w:tab/>
        <w:t>Request authorisation from customer service, giving the invoice number, part number, quantity and reason.</w:t>
      </w:r>
    </w:p>
    <w:p>
      <w:pPr>
        <w:spacing w:before="0" w:after="60" w:line="276" w:lineRule="auto"/>
        <w:ind w:left="454" w:hanging="454"/>
      </w:pPr>
      <w:r>
        <w:rPr>
          <w:b w:val="0"/>
          <w:i w:val="0"/>
          <w:sz w:val="21"/>
        </w:rPr>
        <w:t>2.</w:t>
        <w:tab/>
        <w:t>Customer service confirms whether the item is eligible and issues an authorisation number if it is.</w:t>
      </w:r>
    </w:p>
    <w:p>
      <w:pPr>
        <w:spacing w:before="0" w:after="60" w:line="276" w:lineRule="auto"/>
        <w:ind w:left="454" w:hanging="454"/>
      </w:pPr>
      <w:r>
        <w:rPr>
          <w:b w:val="0"/>
          <w:i w:val="0"/>
          <w:sz w:val="21"/>
        </w:rPr>
        <w:t>3.</w:t>
        <w:tab/>
        <w:t>The account holder marks the authorisation number clearly on the outside of the returned package and includes a copy of the original invoice inside it.</w:t>
      </w:r>
    </w:p>
    <w:p>
      <w:pPr>
        <w:spacing w:before="0" w:after="60" w:line="276" w:lineRule="auto"/>
        <w:ind w:left="454" w:hanging="454"/>
      </w:pPr>
      <w:r>
        <w:rPr>
          <w:b w:val="0"/>
          <w:i w:val="0"/>
          <w:sz w:val="21"/>
        </w:rPr>
        <w:t>4.</w:t>
        <w:tab/>
        <w:t>The distribution centre inspects the returned goods on arrival against the condition described in the request before the credit is issued.</w:t>
      </w:r>
    </w:p>
    <w:p>
      <w:pPr>
        <w:spacing w:before="0" w:after="60" w:line="276" w:lineRule="auto"/>
        <w:ind w:left="454" w:hanging="454"/>
      </w:pPr>
      <w:r>
        <w:rPr>
          <w:b w:val="0"/>
          <w:i w:val="0"/>
          <w:sz w:val="21"/>
        </w:rPr>
        <w:t>5.</w:t>
        <w:tab/>
        <w:t>A credit is issued to the account, less any applicable restocking charge, once the inspection confirms the goods meet the return condition.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Category</w:t>
            </w:r>
          </w:p>
        </w:tc>
        <w:tc>
          <w:tcPr>
            <w:tcW w:type="dxa" w:w="2835"/>
            <w:vAlign w:val="bottom"/>
            <w:shd w:val="clear" w:color="auto" w:fill="D9D9D9"/>
          </w:tcPr>
          <w:p>
            <w:pPr>
              <w:spacing w:before="0" w:after="0"/>
            </w:pPr>
            <w:r/>
            <w:r>
              <w:rPr>
                <w:b/>
                <w:i w:val="0"/>
                <w:sz w:val="14"/>
              </w:rPr>
              <w:t>Return window</w:t>
            </w:r>
          </w:p>
        </w:tc>
        <w:tc>
          <w:tcPr>
            <w:tcW w:type="dxa" w:w="2381"/>
            <w:vAlign w:val="bottom"/>
            <w:shd w:val="clear" w:color="auto" w:fill="D9D9D9"/>
          </w:tcPr>
          <w:p>
            <w:pPr>
              <w:spacing w:before="0" w:after="0"/>
            </w:pPr>
            <w:r/>
            <w:r>
              <w:rPr>
                <w:b/>
                <w:i w:val="0"/>
                <w:sz w:val="14"/>
              </w:rPr>
              <w:t>Restocking charge</w:t>
            </w:r>
          </w:p>
        </w:tc>
      </w:tr>
      <w:tr>
        <w:tc>
          <w:tcPr>
            <w:tcW w:type="dxa" w:w="4195"/>
          </w:tcPr>
          <w:p>
            <w:pPr>
              <w:spacing w:before="0" w:after="0"/>
            </w:pPr>
            <w:r/>
            <w:r>
              <w:rPr>
                <w:b w:val="0"/>
                <w:i w:val="0"/>
                <w:sz w:val="16"/>
              </w:rPr>
              <w:t>Standard stocked item, unopened original packaging</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15 percent of invoice price</w:t>
            </w:r>
          </w:p>
        </w:tc>
      </w:tr>
      <w:tr>
        <w:tc>
          <w:tcPr>
            <w:tcW w:type="dxa" w:w="4195"/>
          </w:tcPr>
          <w:p>
            <w:pPr>
              <w:spacing w:before="0" w:after="0"/>
            </w:pPr>
            <w:r/>
            <w:r>
              <w:rPr>
                <w:b w:val="0"/>
                <w:i w:val="0"/>
                <w:sz w:val="16"/>
              </w:rPr>
              <w:t>Standard stocked item, opened but unused and complete</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25 percent of invoice price</w:t>
            </w:r>
          </w:p>
        </w:tc>
      </w:tr>
      <w:tr>
        <w:tc>
          <w:tcPr>
            <w:tcW w:type="dxa" w:w="4195"/>
          </w:tcPr>
          <w:p>
            <w:pPr>
              <w:spacing w:before="0" w:after="0"/>
            </w:pPr>
            <w:r/>
            <w:r>
              <w:rPr>
                <w:b w:val="0"/>
                <w:i w:val="0"/>
                <w:sz w:val="16"/>
              </w:rPr>
              <w:t>Item returned for the Company's error (wrong item, wrong quantity, defect)</w:t>
            </w:r>
          </w:p>
        </w:tc>
        <w:tc>
          <w:tcPr>
            <w:tcW w:type="dxa" w:w="2835"/>
          </w:tcPr>
          <w:p>
            <w:pPr>
              <w:spacing w:before="0" w:after="0"/>
            </w:pPr>
            <w:r/>
            <w:r>
              <w:rPr>
                <w:b w:val="0"/>
                <w:i w:val="0"/>
                <w:sz w:val="16"/>
              </w:rPr>
              <w:t>90 calendar days from invoice date</w:t>
            </w:r>
          </w:p>
        </w:tc>
        <w:tc>
          <w:tcPr>
            <w:tcW w:type="dxa" w:w="2381"/>
          </w:tcPr>
          <w:p>
            <w:pPr>
              <w:spacing w:before="0" w:after="0"/>
            </w:pPr>
            <w:r/>
            <w:r>
              <w:rPr>
                <w:b w:val="0"/>
                <w:i w:val="0"/>
                <w:sz w:val="16"/>
              </w:rPr>
              <w:t>None</w:t>
            </w:r>
          </w:p>
        </w:tc>
      </w:tr>
      <w:tr>
        <w:tc>
          <w:tcPr>
            <w:tcW w:type="dxa" w:w="4195"/>
          </w:tcPr>
          <w:p>
            <w:pPr>
              <w:spacing w:before="0" w:after="0"/>
            </w:pPr>
            <w:r/>
            <w:r>
              <w:rPr>
                <w:b w:val="0"/>
                <w:i w:val="0"/>
                <w:sz w:val="16"/>
              </w:rPr>
              <w:t>Special order, cut-to-length or built-to-specification item</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r>
        <w:tc>
          <w:tcPr>
            <w:tcW w:type="dxa" w:w="4195"/>
          </w:tcPr>
          <w:p>
            <w:pPr>
              <w:spacing w:before="0" w:after="0"/>
            </w:pPr>
            <w:r/>
            <w:r>
              <w:rPr>
                <w:b w:val="0"/>
                <w:i w:val="0"/>
                <w:sz w:val="16"/>
              </w:rPr>
              <w:t>Calibration or kitting service already performed</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An item returned without the manufacturer's original packaging, or missing an accessory, manual or component that was included with the original shipment, is inspected on the same basis as any other return, but the restocking charge in the table above may be increased to reflect the cost of restoring the item to a resaleable condition, and in some cases the item may be accepted only as a partial credit rather than at the full restocking rate.</w:t>
      </w:r>
    </w:p>
    <w:p>
      <w:pPr>
        <w:spacing w:before="0" w:after="80" w:line="276" w:lineRule="auto"/>
      </w:pPr>
      <w:r>
        <w:rPr>
          <w:b w:val="0"/>
          <w:i w:val="0"/>
          <w:sz w:val="21"/>
        </w:rPr>
        <w:t>A return shipped from outside the country of the distribution centre follows the same authorisation procedure described above, but the account holder is responsible for its own export formalities on the return leg, and the restocking charge is calculated on the invoice price before any duty or freight the account holder incurred in the original delivery.</w:t>
      </w:r>
    </w:p>
    <w:p>
      <w:pPr>
        <w:spacing w:before="0" w:after="80" w:line="276" w:lineRule="auto"/>
      </w:pPr>
      <w:r>
        <w:rPr>
          <w:b w:val="0"/>
          <w:i w:val="0"/>
          <w:sz w:val="21"/>
        </w:rPr>
        <w:t>A restocking charge is waived once in a rolling twelve months for an account in good standing, at the discretion of the account manager, for a single return that would otherwise carry a charge; the waiver is not available for a return that is otherwise ineligible under this section, such as a special order or a completed calibration service.</w:t>
      </w:r>
    </w:p>
    <w:p>
      <w:pPr>
        <w:spacing w:before="160" w:after="60" w:line="276" w:lineRule="auto"/>
      </w:pPr>
      <w:r>
        <w:rPr>
          <w:b/>
          <w:i w:val="0"/>
          <w:sz w:val="21"/>
        </w:rPr>
        <w:t>Annex A.6  Hazardous Goods and Lithium Battery Shipping</w:t>
      </w:r>
    </w:p>
    <w:p>
      <w:pPr>
        <w:spacing w:before="0" w:after="80" w:line="276" w:lineRule="auto"/>
      </w:pPr>
      <w:r>
        <w:rPr>
          <w:b w:val="0"/>
          <w:i w:val="0"/>
          <w:sz w:val="21"/>
        </w:rPr>
        <w:t>A number of the products in the Company's range, including adhesives, lubricants, aerosol cleaners and certain calibration reference gases, are regulated as hazardous materials for transport and are shipped only with the packaging, labelling and documentation the applicable transport regulation requires; an account holder that consolidates such an item with other freight under its own arrangement is responsible for that shipment's compliance with the same regulation from the point the goods leave the distribution centre.</w:t>
      </w:r>
    </w:p>
    <w:p>
      <w:pPr>
        <w:spacing w:before="0" w:after="80" w:line="276" w:lineRule="auto"/>
      </w:pPr>
      <w:r>
        <w:rPr>
          <w:b w:val="0"/>
          <w:i w:val="0"/>
          <w:sz w:val="21"/>
        </w:rPr>
        <w:t>Equipment supplied with an installed lithium battery, and a battery supplied as a spare or replacement, is shipped according to the state of charge, the watt-hour rating and the mode of transport the carrier will use; a battery above the threshold that requires a full hazardous-goods declaration is shipped only by a service that accepts that declaration, which can mean a longer transit time or a different carrier than the one used for the rest of an order.</w:t>
      </w:r>
    </w:p>
    <w:p>
      <w:pPr>
        <w:spacing w:before="0" w:after="80" w:line="276" w:lineRule="auto"/>
      </w:pPr>
      <w:r>
        <w:rPr>
          <w:b w:val="0"/>
          <w:i w:val="0"/>
          <w:sz w:val="21"/>
        </w:rPr>
        <w:t>A request to expedite or to use a service the standard hazardous-goods routing does not support is referred to the compliance function rather than handled by customer service directly, since substituting a faster service for a regulated shipment without checking that the service accepts the declaration is the most common cause of a shipment being refused by the carrier after it has already left the distribution centre.</w:t>
      </w:r>
    </w:p>
    <w:p>
      <w:pPr>
        <w:spacing w:before="0" w:after="80" w:line="276" w:lineRule="auto"/>
      </w:pPr>
      <w:r>
        <w:rPr>
          <w:b w:val="0"/>
          <w:i w:val="0"/>
          <w:sz w:val="21"/>
        </w:rPr>
        <w:t>Safety data sheets for hazardous items are provided with the shipment and are also available from customer service in advance of ordering so that the account holder's own receiving staff can plan for the storage and handling the item requires; a request for a safety data sheet does not require an open order and is answered the same working day.</w:t>
      </w:r>
    </w:p>
    <w:p>
      <w:pPr>
        <w:spacing w:before="0" w:after="80" w:line="276" w:lineRule="auto"/>
      </w:pPr>
      <w:r>
        <w:rPr>
          <w:b w:val="0"/>
          <w:i w:val="0"/>
          <w:sz w:val="21"/>
        </w:rPr>
        <w:t>A customer-supplied item sent to the Company for a calibration or repair service that is itself a regulated hazardous item, such as an instrument containing a mercury reference cell or a sealed radioactive source used for calibration checks, must be declared to customer service before it is shipped to the Company, since the inbound movement is subject to the same transport regulation as an outbound shipment of the same item.</w:t>
      </w:r>
    </w:p>
    <w:p>
      <w:pPr>
        <w:spacing w:before="0" w:after="80" w:line="276" w:lineRule="auto"/>
      </w:pPr>
      <w:r>
        <w:rPr>
          <w:b w:val="0"/>
          <w:i w:val="0"/>
          <w:sz w:val="21"/>
        </w:rPr>
        <w:t>A shipment containing more than one item subject to a separate hazardous-goods classification is documented and packaged so that each classification is identifiable on inspection; consolidating differently classified items into a single unlabelled container to reduce the number of declarations is not a step the Company's staff are permitted to take on an account holder's behalf, even where the account holder requests it to simplify paperwork.</w:t>
      </w:r>
    </w:p>
    <w:p>
      <w:pPr>
        <w:spacing w:before="0" w:after="80" w:line="276" w:lineRule="auto"/>
      </w:pPr>
      <w:r>
        <w:rPr>
          <w:b w:val="0"/>
          <w:i w:val="0"/>
          <w:sz w:val="21"/>
        </w:rPr>
        <w:t>An account holder that regularly receives hazardous goods or lithium battery shipments is encouraged to confirm that its own receiving staff have had basic training in recognising the hazard labelling used on the packaging, since a shipment refused at the account holder's own dock for lack of recognised paperwork is returned to the distribution centre at the account holder's cost in the same way as a refused ordinary delivery.</w:t>
      </w:r>
    </w:p>
    <w:p>
      <w:pPr>
        <w:spacing w:before="0" w:after="120" w:line="276" w:lineRule="auto"/>
      </w:pPr>
      <w:r>
        <w:rPr>
          <w:b w:val="0"/>
          <w:i/>
          <w:sz w:val="17"/>
        </w:rPr>
        <w:t>Hazardous goods and lithium battery shipments cannot be arranged for will-call collection by a courier that has not confirmed in advance that it will accept the declaration.</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