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pPr>
      <w:r>
        <w:t xml:space="preserve"/>
      </w:r>
    </w:p>
    <w:p>
      <w:pPr>
        <w:spacing w:before="100" w:after="40"/>
        <w:jc w:val="center"/>
      </w:pPr>
      <w:r>
        <w:rPr>
          <w:rFonts w:ascii="맑은 고딕" w:cs="맑은 고딕" w:eastAsia="맑은 고딕" w:hAnsi="맑은 고딕"/>
          <w:b/>
          <w:bCs/>
          <w:color w:val="1F4E79"/>
          <w:sz w:val="36"/>
          <w:szCs w:val="36"/>
        </w:rPr>
        <w:t xml:space="preserve">기술적 차별성 분석</w:t>
      </w:r>
    </w:p>
    <w:p>
      <w:pPr>
        <w:spacing w:before="40" w:after="40"/>
        <w:jc w:val="center"/>
      </w:pPr>
      <w:r>
        <w:rPr>
          <w:rFonts w:ascii="맑은 고딕" w:cs="맑은 고딕" w:eastAsia="맑은 고딕" w:hAnsi="맑은 고딕"/>
          <w:b w:val="false"/>
          <w:bCs w:val="false"/>
          <w:color w:val="444444"/>
          <w:sz w:val="22"/>
          <w:szCs w:val="22"/>
        </w:rPr>
        <w:t xml:space="preserve">미래기후 리스크 대응 AI 설계 기반 에너지자립형·무동력 담수 생산 원천기술 개발</w:t>
      </w:r>
    </w:p>
    <w:p>
      <w:pPr>
        <w:pBdr>
          <w:bottom w:val="single" w:color="1F4E79" w:sz="10" w:space="6"/>
        </w:pBdr>
        <w:spacing w:before="20" w:after="160"/>
        <w:jc w:val="center"/>
      </w:pPr>
      <w:r>
        <w:rPr>
          <w:rFonts w:ascii="맑은 고딕" w:cs="맑은 고딕" w:eastAsia="맑은 고딕" w:hAnsi="맑은 고딕"/>
          <w:color w:val="666666"/>
          <w:sz w:val="18"/>
          <w:szCs w:val="18"/>
        </w:rPr>
        <w:t xml:space="preserve">RS-2026-25528664  |  한국기계연구원·UNIST·명지대·서울시립대</w:t>
      </w:r>
    </w:p>
    <w:p>
      <w:pPr>
        <w:spacing w:before="80" w:after="60"/>
      </w:pPr>
      <w:r>
        <w:t xml:space="preserve"/>
      </w:r>
    </w:p>
    <w:p>
      <w:pPr>
        <w:pStyle w:val="Heading1"/>
        <w:pBdr>
          <w:bottom w:val="single" w:color="1F4E79" w:sz="6" w:space="4"/>
        </w:pBdr>
        <w:spacing w:before="360" w:after="180"/>
      </w:pPr>
      <w:r>
        <w:rPr>
          <w:rFonts w:ascii="맑은 고딕" w:cs="맑은 고딕" w:eastAsia="맑은 고딕" w:hAnsi="맑은 고딕"/>
          <w:b/>
          <w:bCs/>
          <w:color w:val="1F4E79"/>
          <w:sz w:val="28"/>
          <w:szCs w:val="28"/>
        </w:rPr>
        <w:t xml:space="preserve">1. 구조적 차별성 (시스템 아키텍처 및 설계 방식)</w:t>
      </w:r>
    </w:p>
    <w:p>
      <w:pPr>
        <w:spacing w:before="60" w:after="40"/>
      </w:pPr>
      <w:r>
        <w:t xml:space="preserve"/>
      </w:r>
    </w:p>
    <w:p>
      <w:pPr>
        <w:pStyle w:val="Heading2"/>
        <w:spacing w:before="280" w:after="120"/>
      </w:pPr>
      <w:r>
        <w:rPr>
          <w:rFonts w:ascii="맑은 고딕" w:cs="맑은 고딕" w:eastAsia="맑은 고딕" w:hAnsi="맑은 고딕"/>
          <w:b/>
          <w:bCs/>
          <w:color w:val="2E75B6"/>
          <w:sz w:val="24"/>
          <w:szCs w:val="24"/>
        </w:rPr>
        <w:t xml:space="preserve">1.1 기존 기술 대비 패러다임 전환</w:t>
      </w:r>
    </w:p>
    <w:p>
      <w:pPr>
        <w:spacing w:before="60" w:after="80" w:line="360"/>
      </w:pPr>
      <w:r>
        <w:rPr>
          <w:rFonts w:ascii="맑은 고딕" w:cs="맑은 고딕" w:eastAsia="맑은 고딕" w:hAnsi="맑은 고딕"/>
          <w:b w:val="false"/>
          <w:bCs w:val="false"/>
          <w:color w:val="1A1A1A"/>
          <w:sz w:val="20"/>
          <w:szCs w:val="20"/>
        </w:rPr>
        <w:t xml:space="preserve">기존 해수담수화 기술은 고압 역삼투(RO) 방식을 중심으로 3~8 bar 수준의 구동 압력과 1.5~3 kWh/m³의 에너지 소비를 수반하며, 안정적인 전력망과 전문 운영 인력에 의존하는 구조적 한계를 지닌다. 본 연구는 이와 달리 외부 전력망 의존도를 '완전 제로(Zero)'로 설정한 에너지자립형 무동력 아키텍처를 채택함으로써, 기술 패러다임의 근본적 전환을 도모한다.</w:t>
      </w:r>
    </w:p>
    <w:p>
      <w:pPr>
        <w:spacing w:before="40" w:after="2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70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구분</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기존 RO 방식</w:t>
            </w:r>
          </w:p>
        </w:tc>
        <w:tc>
          <w:tcPr>
            <w:tcW w:type="dxa" w:w="3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본 연구 시스템</w:t>
            </w:r>
          </w:p>
        </w:tc>
      </w:tr>
      <w:tr>
        <w:tc>
          <w:tcPr>
            <w:tcW w:type="dxa" w:w="15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구동 방식</w:t>
            </w:r>
          </w:p>
        </w:tc>
        <w:tc>
          <w:tcPr>
            <w:tcW w:type="dxa" w:w="3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가압 펌프 (3~8 bar)</w:t>
            </w:r>
          </w:p>
        </w:tc>
        <w:tc>
          <w:tcPr>
            <w:tcW w:type="dxa" w:w="3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무동력 태양열 직접 활용 (비가압)</w:t>
            </w:r>
          </w:p>
        </w:tc>
      </w:tr>
      <w:tr>
        <w:tc>
          <w:tcPr>
            <w:tcW w:type="dxa" w:w="15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에너지 소비</w:t>
            </w:r>
          </w:p>
        </w:tc>
        <w:tc>
          <w:tcPr>
            <w:tcW w:type="dxa" w:w="3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1.5~3 kWh/m³ (전력 의존)</w:t>
            </w:r>
          </w:p>
        </w:tc>
        <w:tc>
          <w:tcPr>
            <w:tcW w:type="dxa" w:w="3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에너지 자립도 100% (재생에너지 완결)</w:t>
            </w:r>
          </w:p>
        </w:tc>
      </w:tr>
      <w:tr>
        <w:tc>
          <w:tcPr>
            <w:tcW w:type="dxa" w:w="15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운영 인프라</w:t>
            </w:r>
          </w:p>
        </w:tc>
        <w:tc>
          <w:tcPr>
            <w:tcW w:type="dxa" w:w="3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전력망·전문 인력 필수</w:t>
            </w:r>
          </w:p>
        </w:tc>
        <w:tc>
          <w:tcPr>
            <w:tcW w:type="dxa" w:w="3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독립 분산형 / 원격·무인 운영 가능</w:t>
            </w:r>
          </w:p>
        </w:tc>
      </w:tr>
      <w:tr>
        <w:tc>
          <w:tcPr>
            <w:tcW w:type="dxa" w:w="15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시스템 규모</w:t>
            </w:r>
          </w:p>
        </w:tc>
        <w:tc>
          <w:tcPr>
            <w:tcW w:type="dxa" w:w="3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대형 플랜트 중심</w:t>
            </w:r>
          </w:p>
        </w:tc>
        <w:tc>
          <w:tcPr>
            <w:tcW w:type="dxa" w:w="3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모듈형·이동형 (20 L/day 이상 실증)</w:t>
            </w:r>
          </w:p>
        </w:tc>
      </w:tr>
      <w:tr>
        <w:tc>
          <w:tcPr>
            <w:tcW w:type="dxa" w:w="15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탄소 배출</w:t>
            </w:r>
          </w:p>
        </w:tc>
        <w:tc>
          <w:tcPr>
            <w:tcW w:type="dxa" w:w="3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화석연료 기반 전력 수반</w:t>
            </w:r>
          </w:p>
        </w:tc>
        <w:tc>
          <w:tcPr>
            <w:tcW w:type="dxa" w:w="3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재생에너지 100% / 탄소 배출 Zero</w:t>
            </w:r>
          </w:p>
        </w:tc>
      </w:tr>
      <w:tr>
        <w:tc>
          <w:tcPr>
            <w:tcW w:type="dxa" w:w="15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val="false"/>
                <w:bCs w:val="false"/>
                <w:color w:val="1A1A1A"/>
                <w:sz w:val="18"/>
                <w:szCs w:val="18"/>
              </w:rPr>
              <w:t xml:space="preserve">원소재 조달</w:t>
            </w:r>
          </w:p>
        </w:tc>
        <w:tc>
          <w:tcPr>
            <w:tcW w:type="dxa" w:w="3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상용 멤브레인 소재</w:t>
            </w:r>
          </w:p>
        </w:tc>
        <w:tc>
          <w:tcPr>
            <w:tcW w:type="dxa" w:w="3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폐PET 기반 3DGN 업사이클링 소재</w:t>
            </w:r>
          </w:p>
        </w:tc>
      </w:tr>
    </w:tbl>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1.2 계층적 멀티스케일 통합 아키텍처</w:t>
      </w:r>
    </w:p>
    <w:p>
      <w:pPr>
        <w:spacing w:before="60" w:after="80" w:line="360"/>
      </w:pPr>
      <w:r>
        <w:rPr>
          <w:rFonts w:ascii="맑은 고딕" w:cs="맑은 고딕" w:eastAsia="맑은 고딕" w:hAnsi="맑은 고딕"/>
          <w:b w:val="false"/>
          <w:bCs w:val="false"/>
          <w:color w:val="1A1A1A"/>
          <w:sz w:val="20"/>
          <w:szCs w:val="20"/>
        </w:rPr>
        <w:t xml:space="preserve">본 시스템은 소재(Micro) → 모듈(Meso) → 시스템(Macro)의 3계층 통합 설계를 채택한다. 각 스케일에서 독립적으로 최적화된 성능 지표가 상위 계층으로 연계되며, 계층 간 경계 조건을 AI 대리 모델(Surrogate Model)이 실시간으로 연결·조정한다. 이러한 구조는 단일 계층 최적화에 그치는 기존 방법론과 달리, 전 계층에 걸친 통합 Pareto 최적화를 가능하게 한다.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22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계층</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대상</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핵심 설계 변수</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성능 지표</w:t>
            </w:r>
          </w:p>
        </w:tc>
      </w:tr>
      <w:tr>
        <w:tc>
          <w:tcPr>
            <w:tcW w:type="dxa" w:w="1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Micro (소재)</w:t>
            </w:r>
          </w:p>
        </w:tc>
        <w:tc>
          <w:tcPr>
            <w:tcW w:type="dxa" w:w="2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3DGN 광열 소재</w:t>
            </w:r>
          </w:p>
        </w:tc>
        <w:tc>
          <w:tcPr>
            <w:tcW w:type="dxa" w:w="28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탄화 조건, 기공 구조, 표면 작용기</w:t>
            </w:r>
          </w:p>
        </w:tc>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흡수율 ≥97% (200~2500 nm)</w:t>
            </w:r>
          </w:p>
        </w:tc>
      </w:tr>
      <w:tr>
        <w:tc>
          <w:tcPr>
            <w:tcW w:type="dxa" w:w="1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Meso (모듈)</w:t>
            </w:r>
          </w:p>
        </w:tc>
        <w:tc>
          <w:tcPr>
            <w:tcW w:type="dxa" w:w="2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ISSG/MED-ISSG 광흡수체</w:t>
            </w:r>
          </w:p>
        </w:tc>
        <w:tc>
          <w:tcPr>
            <w:tcW w:type="dxa" w:w="28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젖음성, 수송 경로, 응축면 형상</w:t>
            </w:r>
          </w:p>
        </w:tc>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증발률 ≥2 L m⁻² h⁻¹ (24h)</w:t>
            </w:r>
          </w:p>
        </w:tc>
      </w:tr>
      <w:tr>
        <w:tc>
          <w:tcPr>
            <w:tcW w:type="dxa" w:w="1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Macro (시스템)</w:t>
            </w:r>
          </w:p>
        </w:tc>
        <w:tc>
          <w:tcPr>
            <w:tcW w:type="dxa" w:w="2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통합 담수화·에너지 시스템</w:t>
            </w:r>
          </w:p>
        </w:tc>
        <w:tc>
          <w:tcPr>
            <w:tcW w:type="dxa" w:w="28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열·전기 부하 배분, 운전 시나리오</w:t>
            </w:r>
          </w:p>
        </w:tc>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에너지 자립도 100%, 가동률 ≥60%</w:t>
            </w:r>
          </w:p>
        </w:tc>
      </w:tr>
    </w:tbl>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1.3 MED-ISSG 융합 모듈: 신규 열 재활용 구조</w:t>
      </w:r>
    </w:p>
    <w:p>
      <w:pPr>
        <w:spacing w:before="60" w:after="60" w:line="360"/>
      </w:pPr>
      <w:r>
        <w:rPr>
          <w:rFonts w:ascii="맑은 고딕" w:cs="맑은 고딕" w:eastAsia="맑은 고딕" w:hAnsi="맑은 고딕"/>
          <w:b w:val="false"/>
          <w:bCs w:val="false"/>
          <w:color w:val="1A1A1A"/>
          <w:sz w:val="20"/>
          <w:szCs w:val="20"/>
        </w:rPr>
        <w:t xml:space="preserve">ISSG(계면 태양열 수증기 발생) 단독 구성에서 발생하는 전도 열손실을 하부 다단효용부(MED)로 회수하여 추가 증발에 활용하는 역중공 피라미드형 융합 모듈 구조를 신규 제안한다. 이 구조는 ISSG의 상부 열원에서 발생한 에너지를 하부 MED 다단 효용부로 직접 전달하여 열 캐스케이딩 효율을 극대화하며, 기존 ISSG 단독 시스템 대비 담수 생산 성능을 정량적으로 향상시키는 구조적 혁신이다.</w:t>
      </w:r>
    </w:p>
    <w:p>
      <w:pPr>
        <w:spacing w:before="60" w:after="40"/>
      </w:pPr>
      <w:r>
        <w:t xml:space="preserve"/>
      </w:r>
    </w:p>
    <w:p>
      <w:pPr>
        <w:pStyle w:val="Heading1"/>
        <w:pBdr>
          <w:bottom w:val="single" w:color="1F4E79" w:sz="6" w:space="4"/>
        </w:pBdr>
        <w:spacing w:before="360" w:after="180"/>
      </w:pPr>
      <w:r>
        <w:rPr>
          <w:rFonts w:ascii="맑은 고딕" w:cs="맑은 고딕" w:eastAsia="맑은 고딕" w:hAnsi="맑은 고딕"/>
          <w:b/>
          <w:bCs/>
          <w:color w:val="1F4E79"/>
          <w:sz w:val="28"/>
          <w:szCs w:val="28"/>
        </w:rPr>
        <w:t xml:space="preserve">2. 알고리즘·제어·모델링 차별성</w:t>
      </w:r>
    </w:p>
    <w:p>
      <w:pPr>
        <w:spacing w:before="60" w:after="40"/>
      </w:pPr>
      <w:r>
        <w:t xml:space="preserve"/>
      </w:r>
    </w:p>
    <w:p>
      <w:pPr>
        <w:pStyle w:val="Heading2"/>
        <w:spacing w:before="280" w:after="120"/>
      </w:pPr>
      <w:r>
        <w:rPr>
          <w:rFonts w:ascii="맑은 고딕" w:cs="맑은 고딕" w:eastAsia="맑은 고딕" w:hAnsi="맑은 고딕"/>
          <w:b/>
          <w:bCs/>
          <w:color w:val="2E75B6"/>
          <w:sz w:val="24"/>
          <w:szCs w:val="24"/>
        </w:rPr>
        <w:t xml:space="preserve">2.1 앙상블 기반 불확실성 정량화 예측 체계</w:t>
      </w:r>
    </w:p>
    <w:p>
      <w:pPr>
        <w:spacing w:before="60" w:after="80" w:line="360"/>
      </w:pPr>
      <w:r>
        <w:rPr>
          <w:rFonts w:ascii="맑은 고딕" w:cs="맑은 고딕" w:eastAsia="맑은 고딕" w:hAnsi="맑은 고딕"/>
          <w:b w:val="false"/>
          <w:bCs w:val="false"/>
          <w:color w:val="1A1A1A"/>
          <w:sz w:val="20"/>
          <w:szCs w:val="20"/>
        </w:rPr>
        <w:t xml:space="preserve">기존 담수화 공정 AI 연구(Yang et al., 2023; Mohammed et al., 2024; Elaziz et al., 2024 등)는 단일 모델(ANN, XGBoost, LSTM 등)로 성능을 예측하는 방식에 집중되어 왔다. 이 접근법은 예측의 신뢰 구간을 제공하지 못하며, 데이터 부족 구간에서 과신 위험이 존재한다. 본 연구는 앙상블 회귀 기반의 예측 평균(μ)과 표준편차(σ)를 동시에 산출하여, 모델 불확실성을 정량화하고 이를 베이지안 최적화(BO)의 Acquisition Function에 직접 반영함으로써 탐색 효율을 높이는 폐루프(Closed-loop) 체계를 구축한다.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7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구분</w:t>
            </w:r>
          </w:p>
        </w:tc>
        <w:tc>
          <w:tcPr>
            <w:tcW w:type="dxa" w:w="3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기존 문헌 방식</w:t>
            </w:r>
          </w:p>
        </w:tc>
        <w:tc>
          <w:tcPr>
            <w:tcW w:type="dxa" w:w="3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본 연구 접근</w:t>
            </w:r>
          </w:p>
        </w:tc>
      </w:tr>
      <w:tr>
        <w:tc>
          <w:tcPr>
            <w:tcW w:type="dxa" w:w="1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모델 구조</w:t>
            </w:r>
          </w:p>
        </w:tc>
        <w:tc>
          <w:tcPr>
            <w:tcW w:type="dxa" w:w="3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단일 모델 (ANN, XGBoost, LSTM)</w:t>
            </w:r>
          </w:p>
        </w:tc>
        <w:tc>
          <w:tcPr>
            <w:tcW w:type="dxa" w:w="3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앙상블 모델 (μ + σ 동시 산출)</w:t>
            </w:r>
          </w:p>
        </w:tc>
      </w:tr>
      <w:tr>
        <w:tc>
          <w:tcPr>
            <w:tcW w:type="dxa" w:w="1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불확실성 처리</w:t>
            </w:r>
          </w:p>
        </w:tc>
        <w:tc>
          <w:tcPr>
            <w:tcW w:type="dxa" w:w="3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점 예측 (신뢰구간 없음)</w:t>
            </w:r>
          </w:p>
        </w:tc>
        <w:tc>
          <w:tcPr>
            <w:tcW w:type="dxa" w:w="3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예측 신뢰구간 포함, 위험 구간 식별</w:t>
            </w:r>
          </w:p>
        </w:tc>
      </w:tr>
      <w:tr>
        <w:tc>
          <w:tcPr>
            <w:tcW w:type="dxa" w:w="1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설계 최적화</w:t>
            </w:r>
          </w:p>
        </w:tc>
        <w:tc>
          <w:tcPr>
            <w:tcW w:type="dxa" w:w="3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오프라인 탐색 / 수동 실험</w:t>
            </w:r>
          </w:p>
        </w:tc>
        <w:tc>
          <w:tcPr>
            <w:tcW w:type="dxa" w:w="3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BO 기반 추천 → 제조 → 평가 폐루프</w:t>
            </w:r>
          </w:p>
        </w:tc>
      </w:tr>
      <w:tr>
        <w:tc>
          <w:tcPr>
            <w:tcW w:type="dxa" w:w="1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목표 함수</w:t>
            </w:r>
          </w:p>
        </w:tc>
        <w:tc>
          <w:tcPr>
            <w:tcW w:type="dxa" w:w="3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단일 성능 지표 최대화</w:t>
            </w:r>
          </w:p>
        </w:tc>
        <w:tc>
          <w:tcPr>
            <w:tcW w:type="dxa" w:w="3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성능(μ 최대) + 편차(σ 최소) 다목적</w:t>
            </w:r>
          </w:p>
        </w:tc>
      </w:tr>
      <w:tr>
        <w:tc>
          <w:tcPr>
            <w:tcW w:type="dxa" w:w="1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실험 절감</w:t>
            </w:r>
          </w:p>
        </w:tc>
        <w:tc>
          <w:tcPr>
            <w:tcW w:type="dxa" w:w="3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미적용</w:t>
            </w:r>
          </w:p>
        </w:tc>
        <w:tc>
          <w:tcPr>
            <w:tcW w:type="dxa" w:w="3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AI 추천으로 실험 횟수 ≥20% 절감 (정량 입증)</w:t>
            </w:r>
          </w:p>
        </w:tc>
      </w:tr>
    </w:tbl>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2.2 멀티모달 결정화 위치 예측 모델</w:t>
      </w:r>
    </w:p>
    <w:p>
      <w:pPr>
        <w:spacing w:before="60" w:after="60" w:line="360"/>
      </w:pPr>
      <w:r>
        <w:rPr>
          <w:rFonts w:ascii="맑은 고딕" w:cs="맑은 고딕" w:eastAsia="맑은 고딕" w:hAnsi="맑은 고딕"/>
          <w:b w:val="false"/>
          <w:bCs w:val="false"/>
          <w:color w:val="1A1A1A"/>
          <w:sz w:val="20"/>
          <w:szCs w:val="20"/>
        </w:rPr>
        <w:t xml:space="preserve">담수화 효율 저하의 핵심 원인인 염 결정화(Salt Crystallization)의 위치를 사전에 예측·제어하는 멀티모달 AI 모델을 도입한다. 이미지 기반 결정화 패턴 분류(Macro-F1 ≥ 0.93)와 모세관 수송 지표(wicking)를 동시에 입력으로 결합하여 결정화 취약 좌표를 예측하고, 이를 광흡수체 설계 변수에 환류함으로써 Fouling 메커니즘을 사전에 억제한다. 기존 연구에서 이미지와 수송 특성을 동시에 활용한 사례는 문헌상 확인되지 않는다.</w:t>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5B6" w:sz="8"/>
              <w:left w:val="thick" w:color="1F4E79" w:sz="12"/>
              <w:bottom w:val="single" w:color="2E75B6" w:sz="8"/>
              <w:right w:val="single" w:color="CCCCCC" w:sz="2"/>
            </w:tcBorders>
            <w:shd w:fill="EEF4FF" w:val="clear"/>
            <w:tcMar>
              <w:top w:type="dxa" w:w="120"/>
              <w:left w:type="dxa" w:w="200"/>
              <w:bottom w:type="dxa" w:w="120"/>
              <w:right w:type="dxa" w:w="140"/>
            </w:tcMar>
          </w:tcPr>
          <w:p>
            <w:pPr>
              <w:spacing w:before="40" w:after="40"/>
            </w:pPr>
            <w:r>
              <w:rPr>
                <w:rFonts w:ascii="맑은 고딕" w:cs="맑은 고딕" w:eastAsia="맑은 고딕" w:hAnsi="맑은 고딕"/>
                <w:b/>
                <w:bCs/>
                <w:color w:val="1F4E79"/>
                <w:sz w:val="20"/>
                <w:szCs w:val="20"/>
              </w:rPr>
              <w:t xml:space="preserve">[정량 목표] </w:t>
            </w:r>
            <w:r>
              <w:rPr>
                <w:rFonts w:ascii="맑은 고딕" w:cs="맑은 고딕" w:eastAsia="맑은 고딕" w:hAnsi="맑은 고딕"/>
                <w:color w:val="2A2A2A"/>
                <w:sz w:val="20"/>
                <w:szCs w:val="20"/>
              </w:rPr>
              <w:t xml:space="preserve">결정화 위치 분류 Macro-F1 ≥ 0.93 또는 위치오차 ≤3% (시료 치수 대비) / 흡수율 예측 MAPE ≤1.5%</w:t>
            </w:r>
          </w:p>
        </w:tc>
      </w:tr>
    </w:tbl>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2.3 Track 분기형 다목적 최적화 운영 체계 (서울시립대)</w:t>
      </w:r>
    </w:p>
    <w:p>
      <w:pPr>
        <w:spacing w:before="60" w:after="60" w:line="360"/>
      </w:pPr>
      <w:r>
        <w:rPr>
          <w:rFonts w:ascii="맑은 고딕" w:cs="맑은 고딕" w:eastAsia="맑은 고딕" w:hAnsi="맑은 고딕"/>
          <w:b w:val="false"/>
          <w:bCs w:val="false"/>
          <w:color w:val="1A1A1A"/>
          <w:sz w:val="20"/>
          <w:szCs w:val="20"/>
        </w:rPr>
        <w:t xml:space="preserve">무동력(Track 1)과 동력 보조(Track 2) 운전 모드를 가변 환경 시나리오(일사량, 원수 수질, 가뭄 조건)에 따라 자동 전환하는 운영 의사결정 알고리즘을 개발한다. 담수 생산량, 에너지 소요량, 먹는물 수질 기준 준수를 동시에 제약 조건으로 설정하는 다목적 최적화 워크플로우는 기존 단일 목표 최적화 방식과 구조적으로 차별화된다. 최종 목표로 담수 생산량 25% 향상, 에너지 소요량 20% 절감을 정량적으로 제시한다.</w:t>
      </w:r>
    </w:p>
    <w:p>
      <w:pPr>
        <w:spacing w:before="60" w:after="40"/>
      </w:pPr>
      <w:r>
        <w:t xml:space="preserve"/>
      </w:r>
    </w:p>
    <w:p>
      <w:pPr>
        <w:pStyle w:val="Heading1"/>
        <w:pBdr>
          <w:bottom w:val="single" w:color="1F4E79" w:sz="6" w:space="4"/>
        </w:pBdr>
        <w:spacing w:before="360" w:after="180"/>
      </w:pPr>
      <w:r>
        <w:rPr>
          <w:rFonts w:ascii="맑은 고딕" w:cs="맑은 고딕" w:eastAsia="맑은 고딕" w:hAnsi="맑은 고딕"/>
          <w:b/>
          <w:bCs/>
          <w:color w:val="1F4E79"/>
          <w:sz w:val="28"/>
          <w:szCs w:val="28"/>
        </w:rPr>
        <w:t xml:space="preserve">3. 데이터 기반 최적화 및 AI 적용 차별성</w:t>
      </w:r>
    </w:p>
    <w:p>
      <w:pPr>
        <w:spacing w:before="60" w:after="40"/>
      </w:pPr>
      <w:r>
        <w:t xml:space="preserve"/>
      </w:r>
    </w:p>
    <w:p>
      <w:pPr>
        <w:pStyle w:val="Heading2"/>
        <w:spacing w:before="280" w:after="120"/>
      </w:pPr>
      <w:r>
        <w:rPr>
          <w:rFonts w:ascii="맑은 고딕" w:cs="맑은 고딕" w:eastAsia="맑은 고딕" w:hAnsi="맑은 고딕"/>
          <w:b/>
          <w:bCs/>
          <w:color w:val="2E75B6"/>
          <w:sz w:val="24"/>
          <w:szCs w:val="24"/>
        </w:rPr>
        <w:t xml:space="preserve">3.1 소재-공정 데이터 표준화 및 폐루프 최적화</w:t>
      </w:r>
    </w:p>
    <w:p>
      <w:pPr>
        <w:spacing w:before="60" w:after="80" w:line="360"/>
      </w:pPr>
      <w:r>
        <w:rPr>
          <w:rFonts w:ascii="맑은 고딕" w:cs="맑은 고딕" w:eastAsia="맑은 고딕" w:hAnsi="맑은 고딕"/>
          <w:b w:val="false"/>
          <w:bCs w:val="false"/>
          <w:color w:val="1A1A1A"/>
          <w:sz w:val="20"/>
          <w:szCs w:val="20"/>
        </w:rPr>
        <w:t xml:space="preserve">폐PET 등 다종 폐플라스틱 기반 3DGN 제조 공정에서 Raman 분광(ID/IG), UV-Vis-NIR 확산반사율, SEM/TEM 미세구조 데이터를 공정 조건과 함께 표준 스키마로 축적한다. 최소 200개 이상의 조건 데이터셋을 홀드아웃 검증 규칙과 함께 구축하여, 단순 실험 반복을 AI 추천 기반 폐루프로 대체한다. 이 방식은 공정 탐색 비용을 획기적으로 절감하고, 조건 공간 전체의 재현성 있는 탐색을 보장한다.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400"/>
        <w:gridCol w:w="240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단계</w:t>
            </w:r>
          </w:p>
        </w:tc>
        <w:tc>
          <w:tcPr>
            <w:tcW w:type="dxa" w:w="21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입력</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AI 처리</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출력 및 활용</w:t>
            </w:r>
          </w:p>
        </w:tc>
      </w:tr>
      <w:tr>
        <w:tc>
          <w:tcPr>
            <w:tcW w:type="dxa" w:w="16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데이터 수집</w:t>
            </w:r>
          </w:p>
        </w:tc>
        <w:tc>
          <w:tcPr>
            <w:tcW w:type="dxa" w:w="21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공정 조건, Raman, 흡수율, SEM</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표준 스키마 QC 검증</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≥200 조건 DB 구축</w:t>
            </w:r>
          </w:p>
        </w:tc>
      </w:tr>
      <w:tr>
        <w:tc>
          <w:tcPr>
            <w:tcW w:type="dxa" w:w="16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예측 모델</w:t>
            </w:r>
          </w:p>
        </w:tc>
        <w:tc>
          <w:tcPr>
            <w:tcW w:type="dxa" w:w="21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공정 변수 벡터</w:t>
            </w:r>
          </w:p>
        </w:tc>
        <w:tc>
          <w:tcPr>
            <w:tcW w:type="dxa" w:w="2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앙상블 회귀 (μ, σ 산출)</w:t>
            </w:r>
          </w:p>
        </w:tc>
        <w:tc>
          <w:tcPr>
            <w:tcW w:type="dxa" w:w="2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성능 예측 + 신뢰구간</w:t>
            </w:r>
          </w:p>
        </w:tc>
      </w:tr>
      <w:tr>
        <w:tc>
          <w:tcPr>
            <w:tcW w:type="dxa" w:w="16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실험 추천</w:t>
            </w:r>
          </w:p>
        </w:tc>
        <w:tc>
          <w:tcPr>
            <w:tcW w:type="dxa" w:w="21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현재 최고 후보, 미탐색 구간</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베이지안 최적화 (BO)</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후속 실험 조건 추천</w:t>
            </w:r>
          </w:p>
        </w:tc>
      </w:tr>
      <w:tr>
        <w:tc>
          <w:tcPr>
            <w:tcW w:type="dxa" w:w="16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검증·재학습</w:t>
            </w:r>
          </w:p>
        </w:tc>
        <w:tc>
          <w:tcPr>
            <w:tcW w:type="dxa" w:w="21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신규 실험 결과</w:t>
            </w:r>
          </w:p>
        </w:tc>
        <w:tc>
          <w:tcPr>
            <w:tcW w:type="dxa" w:w="2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모델 갱신 (Closed-loop)</w:t>
            </w:r>
          </w:p>
        </w:tc>
        <w:tc>
          <w:tcPr>
            <w:tcW w:type="dxa" w:w="2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실험 횟수 ≥20% 절감</w:t>
            </w:r>
          </w:p>
        </w:tc>
      </w:tr>
    </w:tbl>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3.2 AI 기반 멀티스케일 시뮬레이션 연계</w:t>
      </w:r>
    </w:p>
    <w:p>
      <w:pPr>
        <w:spacing w:before="60" w:after="60" w:line="360"/>
      </w:pPr>
      <w:r>
        <w:rPr>
          <w:rFonts w:ascii="맑은 고딕" w:cs="맑은 고딕" w:eastAsia="맑은 고딕" w:hAnsi="맑은 고딕"/>
          <w:b w:val="false"/>
          <w:bCs w:val="false"/>
          <w:color w:val="1A1A1A"/>
          <w:sz w:val="20"/>
          <w:szCs w:val="20"/>
        </w:rPr>
        <w:t xml:space="preserve">소재 수준의 CFD/열전달 해석 결과를 앙상블 서로게이트 모델과 결합하여, 계산 비용을 줄이면서도 물리적 타당성을 유지하는 연계 최적화 체계를 구축한다. 응축부 CFD 데이터와 실증 운전 데이터를 결합한 서로게이트 모델은 병목 예측과 불확실성 산출을 동시에 수행하며, 이를 BO 목적 함수에 반영해 응축·회수 효율 최대화를 위한 설계 변수를 추천한다. 이는 단순 경험적 설계나 독립적 CFD 최적화와 구별되는 하이브리드 접근이다.</w:t>
      </w:r>
    </w:p>
    <w:p>
      <w:pPr>
        <w:spacing w:before="80" w:after="40"/>
      </w:pPr>
      <w:r>
        <w:t xml:space="preserve"/>
      </w:r>
    </w:p>
    <w:p>
      <w:pPr>
        <w:pStyle w:val="Heading1"/>
        <w:pBdr>
          <w:bottom w:val="single" w:color="1F4E79" w:sz="6" w:space="4"/>
        </w:pBdr>
        <w:spacing w:before="360" w:after="180"/>
      </w:pPr>
      <w:r>
        <w:rPr>
          <w:rFonts w:ascii="맑은 고딕" w:cs="맑은 고딕" w:eastAsia="맑은 고딕" w:hAnsi="맑은 고딕"/>
          <w:b/>
          <w:bCs/>
          <w:color w:val="1F4E79"/>
          <w:sz w:val="28"/>
          <w:szCs w:val="28"/>
        </w:rPr>
        <w:t xml:space="preserve">4. 물리 기반 모델 및 디지털트윈 활용</w:t>
      </w:r>
    </w:p>
    <w:p>
      <w:pPr>
        <w:spacing w:before="60" w:after="40"/>
      </w:pPr>
      <w:r>
        <w:t xml:space="preserve"/>
      </w:r>
    </w:p>
    <w:p>
      <w:pPr>
        <w:pStyle w:val="Heading2"/>
        <w:spacing w:before="280" w:after="120"/>
      </w:pPr>
      <w:r>
        <w:rPr>
          <w:rFonts w:ascii="맑은 고딕" w:cs="맑은 고딕" w:eastAsia="맑은 고딕" w:hAnsi="맑은 고딕"/>
          <w:b/>
          <w:bCs/>
          <w:color w:val="2E75B6"/>
          <w:sz w:val="24"/>
          <w:szCs w:val="24"/>
        </w:rPr>
        <w:t xml:space="preserve">4.1 이론·실험식 기반 시뮬레이션과 AI 연계</w:t>
      </w:r>
    </w:p>
    <w:p>
      <w:pPr>
        <w:spacing w:before="60" w:after="80" w:line="360"/>
      </w:pPr>
      <w:r>
        <w:rPr>
          <w:rFonts w:ascii="맑은 고딕" w:cs="맑은 고딕" w:eastAsia="맑은 고딕" w:hAnsi="맑은 고딕"/>
          <w:b w:val="false"/>
          <w:bCs w:val="false"/>
          <w:color w:val="1A1A1A"/>
          <w:sz w:val="20"/>
          <w:szCs w:val="20"/>
        </w:rPr>
        <w:t xml:space="preserve">ISSG 시스템의 증발–증기 이동–응축–회수 전 과정을 이론 및 실험식 기반 시뮬레이션 모델로 구축하고, 이를 AI 서로게이트 모델과 연계한다. 시뮬레이션 모델은 환경 변수(일사량, 대기온도)별 연간 담수 생산 시뮬레이션을 수행하여 설계 조건을 사전에 도출하며, AI 모델은 실측 데이터와의 편차를 최소화하는 방향으로 지속적으로 보정된다. 이 이중 계층 구조는 물리 법칙에 위배되는 AI 예측을 방지하고, 극한 기후 시나리오에서의 외삽(Extrapolation) 신뢰도를 보장한다.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모델 유형</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역할</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차별점</w:t>
            </w:r>
          </w:p>
        </w:tc>
      </w:tr>
      <w:tr>
        <w:tc>
          <w:tcPr>
            <w:tcW w:type="dxa" w:w="2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물리 기반 시뮬레이션</w:t>
            </w:r>
          </w:p>
        </w:tc>
        <w:tc>
          <w:tcPr>
            <w:tcW w:type="dxa" w:w="35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열·물질 전달, 유동 해석</w:t>
            </w:r>
          </w:p>
        </w:tc>
        <w:tc>
          <w:tcPr>
            <w:tcW w:type="dxa" w:w="3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에너지 수지 항목 분해·정량화</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AI 서로게이트 모델</w:t>
            </w:r>
          </w:p>
        </w:tc>
        <w:tc>
          <w:tcPr>
            <w:tcW w:type="dxa" w:w="35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빠른 성능 예측 (μ, σ)</w:t>
            </w:r>
          </w:p>
        </w:tc>
        <w:tc>
          <w:tcPr>
            <w:tcW w:type="dxa" w:w="3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CFD 대비 계산 시간 수십 배 단축</w:t>
            </w:r>
          </w:p>
        </w:tc>
      </w:tr>
      <w:tr>
        <w:tc>
          <w:tcPr>
            <w:tcW w:type="dxa" w:w="2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디지털트윈 연계</w:t>
            </w:r>
          </w:p>
        </w:tc>
        <w:tc>
          <w:tcPr>
            <w:tcW w:type="dxa" w:w="35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실측 데이터 기반 모델 보정</w:t>
            </w:r>
          </w:p>
        </w:tc>
        <w:tc>
          <w:tcPr>
            <w:tcW w:type="dxa" w:w="3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운전 데이터 → 재학습 → 최적 운전 추천</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통합 최적화</w:t>
            </w:r>
          </w:p>
        </w:tc>
        <w:tc>
          <w:tcPr>
            <w:tcW w:type="dxa" w:w="35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전 계층 Pareto 최적 도출</w:t>
            </w:r>
          </w:p>
        </w:tc>
        <w:tc>
          <w:tcPr>
            <w:tcW w:type="dxa" w:w="3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물리 제약 + AI 추천 동시 만족</w:t>
            </w:r>
          </w:p>
        </w:tc>
      </w:tr>
    </w:tbl>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4.2 가변 환경 대응 디지털트윈 운영 체계</w:t>
      </w:r>
    </w:p>
    <w:p>
      <w:pPr>
        <w:spacing w:before="60" w:after="60" w:line="360"/>
      </w:pPr>
      <w:r>
        <w:rPr>
          <w:rFonts w:ascii="맑은 고딕" w:cs="맑은 고딕" w:eastAsia="맑은 고딕" w:hAnsi="맑은 고딕"/>
          <w:b w:val="false"/>
          <w:bCs w:val="false"/>
          <w:color w:val="1A1A1A"/>
          <w:sz w:val="20"/>
          <w:szCs w:val="20"/>
        </w:rPr>
        <w:t xml:space="preserve">일사량 변동, 원수 수질 변화, 가뭄 조건 등 비정상(Non-stationary) 환경 시나리오에 대응하는 디지털트윈 기반 운영 체계를 구축한다. 통합 시스템 운영 데이터 파이프라인(전력, 유량, 온도, 압력, 수질, 환경 데이터)을 통해 실시간 데이터를 수집하고, 모델 재학습·보정 체계를 통해 현장 변화를 지속적으로 반영한다. 이는 정적 설계 완료 후 고정 운전하는 기존 방식과 달리, 운전 데이터가 축적될수록 성능이 향상되는 자기 개선형(Self-improving) 시스템 구조이다.</w:t>
      </w:r>
    </w:p>
    <w:p>
      <w:pPr>
        <w:spacing w:before="80" w:after="40"/>
      </w:pPr>
      <w:r>
        <w:t xml:space="preserve"/>
      </w:r>
    </w:p>
    <w:p>
      <w:pPr>
        <w:pStyle w:val="Heading1"/>
        <w:pBdr>
          <w:bottom w:val="single" w:color="1F4E79" w:sz="6" w:space="4"/>
        </w:pBdr>
        <w:spacing w:before="360" w:after="180"/>
      </w:pPr>
      <w:r>
        <w:rPr>
          <w:rFonts w:ascii="맑은 고딕" w:cs="맑은 고딕" w:eastAsia="맑은 고딕" w:hAnsi="맑은 고딕"/>
          <w:b/>
          <w:bCs/>
          <w:color w:val="1F4E79"/>
          <w:sz w:val="28"/>
          <w:szCs w:val="28"/>
        </w:rPr>
        <w:t xml:space="preserve">5. 기존 대비 새로운 설계 패러다임 전환 요소</w:t>
      </w:r>
    </w:p>
    <w:p>
      <w:pPr>
        <w:spacing w:before="60" w:after="40"/>
      </w:pPr>
      <w:r>
        <w:t xml:space="preserve"/>
      </w:r>
    </w:p>
    <w:p>
      <w:pPr>
        <w:pStyle w:val="Heading2"/>
        <w:spacing w:before="280" w:after="120"/>
      </w:pPr>
      <w:r>
        <w:rPr>
          <w:rFonts w:ascii="맑은 고딕" w:cs="맑은 고딕" w:eastAsia="맑은 고딕" w:hAnsi="맑은 고딕"/>
          <w:b/>
          <w:bCs/>
          <w:color w:val="2E75B6"/>
          <w:sz w:val="24"/>
          <w:szCs w:val="24"/>
        </w:rPr>
        <w:t xml:space="preserve">5.1 폐플라스틱 업사이클링 기반 고성능 광열 소재</w:t>
      </w:r>
    </w:p>
    <w:p>
      <w:pPr>
        <w:spacing w:before="60" w:after="80" w:line="360"/>
      </w:pPr>
      <w:r>
        <w:rPr>
          <w:rFonts w:ascii="맑은 고딕" w:cs="맑은 고딕" w:eastAsia="맑은 고딕" w:hAnsi="맑은 고딕"/>
          <w:b w:val="false"/>
          <w:bCs w:val="false"/>
          <w:color w:val="1A1A1A"/>
          <w:sz w:val="20"/>
          <w:szCs w:val="20"/>
        </w:rPr>
        <w:t xml:space="preserve">기존 광열 소재 연구에서 탄소 나노튜브, 귀금속 나노입자, 상용 그래핀 등 고가·고순도 원료를 사용하는 반면, 본 연구는 폐PET, HDPE, LDPE, PP, PS 등 다종 폐플라스틱을 열처리·탄화 공정(어닐링/탄화 조건 매트릭스)으로 3D 그래핀 네트워크(3DGN)로 전환한다. 소재 원가 절감과 함께 해양 플라스틱 오염 해결, 탄소 저감을 동시에 달성하는 순환경제 기반 소재 혁신이다. 대면적(≥1,000 cm²) 제조 조건에서 흡수율 ≥97%(200~2500 nm), 배치 간 편차 ≤2%p를 정량 목표로 설정한다.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5B6" w:sz="8"/>
              <w:left w:val="thick" w:color="1F4E79" w:sz="12"/>
              <w:bottom w:val="single" w:color="2E75B6" w:sz="8"/>
              <w:right w:val="single" w:color="CCCCCC" w:sz="2"/>
            </w:tcBorders>
            <w:shd w:fill="EEF4FF" w:val="clear"/>
            <w:tcMar>
              <w:top w:type="dxa" w:w="120"/>
              <w:left w:type="dxa" w:w="200"/>
              <w:bottom w:type="dxa" w:w="120"/>
              <w:right w:type="dxa" w:w="140"/>
            </w:tcMar>
          </w:tcPr>
          <w:p>
            <w:pPr>
              <w:spacing w:before="40" w:after="40"/>
            </w:pPr>
            <w:r>
              <w:rPr>
                <w:rFonts w:ascii="맑은 고딕" w:cs="맑은 고딕" w:eastAsia="맑은 고딕" w:hAnsi="맑은 고딕"/>
                <w:b/>
                <w:bCs/>
                <w:color w:val="1F4E79"/>
                <w:sz w:val="20"/>
                <w:szCs w:val="20"/>
              </w:rPr>
              <w:t xml:space="preserve">[원가 혁신] </w:t>
            </w:r>
            <w:r>
              <w:rPr>
                <w:rFonts w:ascii="맑은 고딕" w:cs="맑은 고딕" w:eastAsia="맑은 고딕" w:hAnsi="맑은 고딕"/>
                <w:color w:val="2A2A2A"/>
                <w:sz w:val="20"/>
                <w:szCs w:val="20"/>
              </w:rPr>
              <w:t xml:space="preserve">상용 그래핀 소재($100~500/g) → 폐플라스틱 기반 3DGN (원료비 대폭 절감). 소재 비용 구조의 근본적 전환과 공급망 독립성 확보</w:t>
            </w:r>
          </w:p>
        </w:tc>
      </w:tr>
    </w:tbl>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5.2 기후 '적응(Adaptation)' 중심의 기술 목표</w:t>
      </w:r>
    </w:p>
    <w:p>
      <w:pPr>
        <w:spacing w:before="60" w:after="60" w:line="360"/>
      </w:pPr>
      <w:r>
        <w:rPr>
          <w:rFonts w:ascii="맑은 고딕" w:cs="맑은 고딕" w:eastAsia="맑은 고딕" w:hAnsi="맑은 고딕"/>
          <w:b w:val="false"/>
          <w:bCs w:val="false"/>
          <w:color w:val="1A1A1A"/>
          <w:sz w:val="20"/>
          <w:szCs w:val="20"/>
        </w:rPr>
        <w:t xml:space="preserve">기존 담수화 연구의 대부분이 온실가스 감축(Mitigation) 또는 대형 플랜트 효율 향상에 집중한 반면, 본 연구는 이미 현실화된 기후 위기(가뭄, 폭염, 홍수, 전력망 붕괴) 상황에서 즉각 활용 가능한 '적응(Adaptation)' 기술에 초점을 맞춘다. 전력망 의존도 Zero, 20 L/day 이상의 휴대용·모듈형 시작품, 30일 장기 운전 안정성(성능 감소율 ≤10%) 달성이 핵심 목표이며, 재난 대응·도서 지역·오지 등 극한 환경에서의 즉각적 현장 적용성을 설계 기준으로 삼는다.</w:t>
      </w:r>
    </w:p>
    <w:p>
      <w:pPr>
        <w:spacing w:before="80" w:after="40"/>
      </w:pPr>
      <w:r>
        <w:t xml:space="preserve"/>
      </w:r>
    </w:p>
    <w:p>
      <w:pPr>
        <w:pStyle w:val="Heading1"/>
        <w:pBdr>
          <w:bottom w:val="single" w:color="1F4E79" w:sz="6" w:space="4"/>
        </w:pBdr>
        <w:spacing w:before="360" w:after="180"/>
      </w:pPr>
      <w:r>
        <w:rPr>
          <w:rFonts w:ascii="맑은 고딕" w:cs="맑은 고딕" w:eastAsia="맑은 고딕" w:hAnsi="맑은 고딕"/>
          <w:b/>
          <w:bCs/>
          <w:color w:val="1F4E79"/>
          <w:sz w:val="28"/>
          <w:szCs w:val="28"/>
        </w:rPr>
        <w:t xml:space="preserve">6. 기술적 난이도 및 모방 장벽</w:t>
      </w:r>
    </w:p>
    <w:p>
      <w:pPr>
        <w:spacing w:before="60" w:after="40"/>
      </w:pPr>
      <w:r>
        <w:t xml:space="preserve"/>
      </w:r>
    </w:p>
    <w:p>
      <w:pPr>
        <w:pStyle w:val="Heading2"/>
        <w:spacing w:before="280" w:after="120"/>
      </w:pPr>
      <w:r>
        <w:rPr>
          <w:rFonts w:ascii="맑은 고딕" w:cs="맑은 고딕" w:eastAsia="맑은 고딕" w:hAnsi="맑은 고딕"/>
          <w:b/>
          <w:bCs/>
          <w:color w:val="2E75B6"/>
          <w:sz w:val="24"/>
          <w:szCs w:val="24"/>
        </w:rPr>
        <w:t xml:space="preserve">6.1 구현 난이도</w:t>
      </w:r>
    </w:p>
    <w:p>
      <w:pPr>
        <w:spacing w:before="60" w:after="60" w:line="360"/>
      </w:pPr>
      <w:r>
        <w:rPr>
          <w:rFonts w:ascii="맑은 고딕" w:cs="맑은 고딕" w:eastAsia="맑은 고딕" w:hAnsi="맑은 고딕"/>
          <w:b w:val="false"/>
          <w:bCs w:val="false"/>
          <w:color w:val="1A1A1A"/>
          <w:sz w:val="20"/>
          <w:szCs w:val="20"/>
        </w:rPr>
        <w:t xml:space="preserve">본 기술의 구현에는 이질적 전문성의 동시 통합이 요구된다: ① 폐플라스틱 전처리-탄화-표면 개질의 재료 공학적 프로세스 제어, ② ISSG 계면 증발 현상 및 응결 핵생성 메커니즘 규명, ③ 앙상블+베이지안 최적화 폐루프 AI 시스템 구축, ④ 실외 환경 장기 실증 및 데이터 파이프라인 운용. 단일 기관이 독립적으로 수행할 수 없는 다학제 융합 난제이며, KIMM·UNIST·명지대·서울시립대 4개 기관의 상호 보완적 컨소시엄 체계가 필수 조건이다.</w:t>
      </w:r>
    </w:p>
    <w:p>
      <w:pPr>
        <w:spacing w:before="40" w:after="20"/>
      </w:pPr>
      <w:r>
        <w:t xml:space="preserve"/>
      </w:r>
    </w:p>
    <w:p>
      <w:pPr>
        <w:pStyle w:val="Heading2"/>
        <w:spacing w:before="280" w:after="120"/>
      </w:pPr>
      <w:r>
        <w:rPr>
          <w:rFonts w:ascii="맑은 고딕" w:cs="맑은 고딕" w:eastAsia="맑은 고딕" w:hAnsi="맑은 고딕"/>
          <w:b/>
          <w:bCs/>
          <w:color w:val="2E75B6"/>
          <w:sz w:val="24"/>
          <w:szCs w:val="24"/>
        </w:rPr>
        <w:t xml:space="preserve">6.2 데이터 및 알고리즘 축적 필요성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축적 항목</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규모 및 조건</w:t>
            </w:r>
          </w:p>
        </w:tc>
        <w:tc>
          <w:tcPr>
            <w:tcW w:type="dxa" w:w="3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모방 장벽 요인</w:t>
            </w:r>
          </w:p>
        </w:tc>
      </w:tr>
      <w:tr>
        <w:tc>
          <w:tcPr>
            <w:tcW w:type="dxa" w:w="2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3DGN 제조 공정 DB</w:t>
            </w:r>
          </w:p>
        </w:tc>
        <w:tc>
          <w:tcPr>
            <w:tcW w:type="dxa" w:w="28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≥200 조건 / Raman·확산반사율·SEM</w:t>
            </w:r>
          </w:p>
        </w:tc>
        <w:tc>
          <w:tcPr>
            <w:tcW w:type="dxa" w:w="3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다종 폐플라스틱 원료 + 어닐링 매트릭스 → 수 년 축적 필요</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광흡수체 실증 데이터</w:t>
            </w:r>
          </w:p>
        </w:tc>
        <w:tc>
          <w:tcPr>
            <w:tcW w:type="dxa" w:w="28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24h 야외 연속 / 30일 반복 ≥3회</w:t>
            </w:r>
          </w:p>
        </w:tc>
        <w:tc>
          <w:tcPr>
            <w:tcW w:type="dxa" w:w="3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계절별 야외 환경 의존성 → 재현 데이터 축적에 1~2년 소요</w:t>
            </w:r>
          </w:p>
        </w:tc>
      </w:tr>
      <w:tr>
        <w:tc>
          <w:tcPr>
            <w:tcW w:type="dxa" w:w="2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시스템 운영 데이터셋</w:t>
            </w:r>
          </w:p>
        </w:tc>
        <w:tc>
          <w:tcPr>
            <w:tcW w:type="dxa" w:w="28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전력·유량·온도·수질·환경 통합</w:t>
            </w:r>
          </w:p>
        </w:tc>
        <w:tc>
          <w:tcPr>
            <w:tcW w:type="dxa" w:w="3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통합 시스템 구축 후에만 생성 가능 → 선행 연구 없이 불가</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결정화 이미지 라벨DB</w:t>
            </w:r>
          </w:p>
        </w:tc>
        <w:tc>
          <w:tcPr>
            <w:tcW w:type="dxa" w:w="28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ROI / 클래스 / 좌표 표준 라벨링</w:t>
            </w:r>
          </w:p>
        </w:tc>
        <w:tc>
          <w:tcPr>
            <w:tcW w:type="dxa" w:w="3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전문 도메인 지식 기반 라벨링 → 외부 모방 진입 장벽 高</w:t>
            </w:r>
          </w:p>
        </w:tc>
      </w:tr>
    </w:tbl>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6.3 특허 및 진입 장벽 요소</w:t>
      </w:r>
    </w:p>
    <w:p>
      <w:pPr>
        <w:spacing w:before="40" w:after="40" w:line="340"/>
        <w:ind w:left="420" w:hanging="240"/>
      </w:pPr>
      <w:r>
        <w:rPr>
          <w:rFonts w:ascii="맑은 고딕" w:cs="맑은 고딕" w:eastAsia="맑은 고딕" w:hAnsi="맑은 고딕"/>
          <w:b w:val="false"/>
          <w:bCs w:val="false"/>
          <w:sz w:val="20"/>
          <w:szCs w:val="20"/>
        </w:rPr>
        <w:t xml:space="preserve">◆ 폐플라스틱 다종 원료 기반 3DGN 제조 조건 및 물성 제어 기술 (소재 원천 특허)</w:t>
      </w:r>
    </w:p>
    <w:p>
      <w:pPr>
        <w:spacing w:before="40" w:after="40" w:line="340"/>
        <w:ind w:left="420" w:hanging="240"/>
      </w:pPr>
      <w:r>
        <w:rPr>
          <w:rFonts w:ascii="맑은 고딕" w:cs="맑은 고딕" w:eastAsia="맑은 고딕" w:hAnsi="맑은 고딕"/>
          <w:b w:val="false"/>
          <w:bCs w:val="false"/>
          <w:sz w:val="20"/>
          <w:szCs w:val="20"/>
        </w:rPr>
        <w:t xml:space="preserve">◆ ISSG 응축부 Brachistochrone 곡면 설계 및 담수 회수 경로 최적화 기술</w:t>
      </w:r>
    </w:p>
    <w:p>
      <w:pPr>
        <w:spacing w:before="40" w:after="40" w:line="340"/>
        <w:ind w:left="420" w:hanging="240"/>
      </w:pPr>
      <w:r>
        <w:rPr>
          <w:rFonts w:ascii="맑은 고딕" w:cs="맑은 고딕" w:eastAsia="맑은 고딕" w:hAnsi="맑은 고딕"/>
          <w:b w:val="false"/>
          <w:bCs w:val="false"/>
          <w:sz w:val="20"/>
          <w:szCs w:val="20"/>
        </w:rPr>
        <w:t xml:space="preserve">◆ MED-ISSG 역중공 피라미드형 융합 모듈 구조 (시스템 구조 특허)</w:t>
      </w:r>
    </w:p>
    <w:p>
      <w:pPr>
        <w:spacing w:before="40" w:after="40" w:line="340"/>
        <w:ind w:left="420" w:hanging="240"/>
      </w:pPr>
      <w:r>
        <w:rPr>
          <w:rFonts w:ascii="맑은 고딕" w:cs="맑은 고딕" w:eastAsia="맑은 고딕" w:hAnsi="맑은 고딕"/>
          <w:b w:val="false"/>
          <w:bCs w:val="false"/>
          <w:sz w:val="20"/>
          <w:szCs w:val="20"/>
        </w:rPr>
        <w:t xml:space="preserve">◆ 앙상블 예측-BO 폐루프 기반 담수화 소재·공정 최적화 방법론 (AI 방법론 특허)</w:t>
      </w:r>
    </w:p>
    <w:p>
      <w:pPr>
        <w:spacing w:before="40" w:after="40" w:line="340"/>
        <w:ind w:left="420" w:hanging="240"/>
      </w:pPr>
      <w:r>
        <w:rPr>
          <w:rFonts w:ascii="맑은 고딕" w:cs="맑은 고딕" w:eastAsia="맑은 고딕" w:hAnsi="맑은 고딕"/>
          <w:b w:val="false"/>
          <w:bCs w:val="false"/>
          <w:sz w:val="20"/>
          <w:szCs w:val="20"/>
        </w:rPr>
        <w:t xml:space="preserve">◆ 멀티모달(이미지+wicking) 결정화 위치 예측 모델 (알고리즘 특허)</w:t>
      </w:r>
    </w:p>
    <w:p>
      <w:pPr>
        <w:spacing w:before="40" w:after="40" w:line="340"/>
        <w:ind w:left="420" w:hanging="240"/>
      </w:pPr>
      <w:r>
        <w:rPr>
          <w:rFonts w:ascii="맑은 고딕" w:cs="맑은 고딕" w:eastAsia="맑은 고딕" w:hAnsi="맑은 고딕"/>
          <w:b w:val="false"/>
          <w:bCs w:val="false"/>
          <w:sz w:val="20"/>
          <w:szCs w:val="20"/>
        </w:rPr>
        <w:t xml:space="preserve">◆ Track 분기형 다목적 최적화 운영 의사결정 알고리즘 (운영 소프트웨어 특허)</w:t>
      </w:r>
    </w:p>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6.4 원천기술 보유 여부</w:t>
      </w:r>
    </w:p>
    <w:p>
      <w:pPr>
        <w:spacing w:before="60" w:after="60" w:line="360"/>
      </w:pPr>
      <w:r>
        <w:rPr>
          <w:rFonts w:ascii="맑은 고딕" w:cs="맑은 고딕" w:eastAsia="맑은 고딕" w:hAnsi="맑은 고딕"/>
          <w:b w:val="false"/>
          <w:bCs w:val="false"/>
          <w:color w:val="1A1A1A"/>
          <w:sz w:val="20"/>
          <w:szCs w:val="20"/>
        </w:rPr>
        <w:t xml:space="preserve">소재(3DGN 제조 원천) → 광흡수체(ISSG 설계 원천) → 담수화 모듈(MED-ISSG 융합 원천) → AI 최적화(폐루프 BO 원천) → 통합 운영(디지털트윈 원천)에 이르는 전 계층 원천기술을 컨소시엄 내에서 자체 보유하고 있으며, 이는 해외 선진국 대비 독립적 기술 자립성을 확보한다. 특히 폐플라스틱 업사이클링 기반 광열 소재와 무동력 담수화 시스템의 결합은 글로벌 문헌에서 선례가 확인되지 않는 신규 기술 영역이다.</w:t>
      </w:r>
    </w:p>
    <w:p>
      <w:pPr>
        <w:spacing w:before="80" w:after="40"/>
      </w:pPr>
      <w:r>
        <w:t xml:space="preserve"/>
      </w:r>
    </w:p>
    <w:p>
      <w:pPr>
        <w:pStyle w:val="Heading1"/>
        <w:pBdr>
          <w:bottom w:val="single" w:color="1F4E79" w:sz="6" w:space="4"/>
        </w:pBdr>
        <w:spacing w:before="360" w:after="180"/>
      </w:pPr>
      <w:r>
        <w:rPr>
          <w:rFonts w:ascii="맑은 고딕" w:cs="맑은 고딕" w:eastAsia="맑은 고딕" w:hAnsi="맑은 고딕"/>
          <w:b/>
          <w:bCs/>
          <w:color w:val="1F4E79"/>
          <w:sz w:val="28"/>
          <w:szCs w:val="28"/>
        </w:rPr>
        <w:t xml:space="preserve">7. 정량적 차별성 종합 비교</w:t>
      </w:r>
    </w:p>
    <w:p>
      <w:pPr>
        <w:spacing w:before="60" w:after="4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17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비교 항목</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기존 기술 수준</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본 연구 최종 목표</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개선 수준</w:t>
            </w:r>
          </w:p>
        </w:tc>
      </w:tr>
      <w:tr>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에너지 자립도</w:t>
            </w:r>
          </w:p>
        </w:tc>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외부 전력 의존 (0%)</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100% (재생에너지 완결)</w:t>
            </w:r>
          </w:p>
        </w:tc>
        <w:tc>
          <w:tcPr>
            <w:tcW w:type="dxa" w:w="1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완전 전환</w:t>
            </w:r>
          </w:p>
        </w:tc>
      </w:tr>
      <w:tr>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광흡수율</w:t>
            </w:r>
          </w:p>
        </w:tc>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상용 탄소 소재 ~90%</w:t>
            </w:r>
          </w:p>
        </w:tc>
        <w:tc>
          <w:tcPr>
            <w:tcW w:type="dxa" w:w="2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≥97% (200~2500 nm)</w:t>
            </w:r>
          </w:p>
        </w:tc>
        <w:tc>
          <w:tcPr>
            <w:tcW w:type="dxa" w:w="1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+7%p 이상</w:t>
            </w:r>
          </w:p>
        </w:tc>
      </w:tr>
      <w:tr>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증발률</w:t>
            </w:r>
          </w:p>
        </w:tc>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약 1.0~1.2 L m⁻² h⁻¹</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≥2 L m⁻² h⁻¹ (24h 야외)</w:t>
            </w:r>
          </w:p>
        </w:tc>
        <w:tc>
          <w:tcPr>
            <w:tcW w:type="dxa" w:w="1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≥67% 향상</w:t>
            </w:r>
          </w:p>
        </w:tc>
      </w:tr>
      <w:tr>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AI 예측 정확도 (탄화율)</w:t>
            </w:r>
          </w:p>
        </w:tc>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미적용 또는 단일 모델</w:t>
            </w:r>
          </w:p>
        </w:tc>
        <w:tc>
          <w:tcPr>
            <w:tcW w:type="dxa" w:w="2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MAPE ≤5%</w:t>
            </w:r>
          </w:p>
        </w:tc>
        <w:tc>
          <w:tcPr>
            <w:tcW w:type="dxa" w:w="1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불확실성 정량화 포함</w:t>
            </w:r>
          </w:p>
        </w:tc>
      </w:tr>
      <w:tr>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흡수율 예측 정확도</w:t>
            </w:r>
          </w:p>
        </w:tc>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단일 모델 점 예측</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MAPE ≤1.5%</w:t>
            </w:r>
          </w:p>
        </w:tc>
        <w:tc>
          <w:tcPr>
            <w:tcW w:type="dxa" w:w="1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신뢰구간 동시 산출</w:t>
            </w:r>
          </w:p>
        </w:tc>
      </w:tr>
      <w:tr>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val="false"/>
                <w:bCs w:val="false"/>
                <w:color w:val="1A1A1A"/>
                <w:sz w:val="18"/>
                <w:szCs w:val="18"/>
              </w:rPr>
              <w:t xml:space="preserve">결정화 위치 분류</w:t>
            </w:r>
          </w:p>
        </w:tc>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미적용</w:t>
            </w:r>
          </w:p>
        </w:tc>
        <w:tc>
          <w:tcPr>
            <w:tcW w:type="dxa" w:w="2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Macro-F1 ≥0.93</w:t>
            </w:r>
          </w:p>
        </w:tc>
        <w:tc>
          <w:tcPr>
            <w:tcW w:type="dxa" w:w="1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이미지+wicking 멀티모달</w:t>
            </w:r>
          </w:p>
        </w:tc>
      </w:tr>
      <w:tr>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val="false"/>
                <w:bCs w:val="false"/>
                <w:color w:val="1A1A1A"/>
                <w:sz w:val="18"/>
                <w:szCs w:val="18"/>
              </w:rPr>
              <w:t xml:space="preserve">담수 생산량 (AI 운영)</w:t>
            </w:r>
          </w:p>
        </w:tc>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기준값</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25% 향상</w:t>
            </w:r>
          </w:p>
        </w:tc>
        <w:tc>
          <w:tcPr>
            <w:tcW w:type="dxa" w:w="1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다목적 최적화 적용</w:t>
            </w:r>
          </w:p>
        </w:tc>
      </w:tr>
      <w:tr>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val="false"/>
                <w:bCs w:val="false"/>
                <w:color w:val="1A1A1A"/>
                <w:sz w:val="18"/>
                <w:szCs w:val="18"/>
              </w:rPr>
              <w:t xml:space="preserve">에너지 소요량 (AI 운영)</w:t>
            </w:r>
          </w:p>
        </w:tc>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기준값</w:t>
            </w:r>
          </w:p>
        </w:tc>
        <w:tc>
          <w:tcPr>
            <w:tcW w:type="dxa" w:w="2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20% 절감</w:t>
            </w:r>
          </w:p>
        </w:tc>
        <w:tc>
          <w:tcPr>
            <w:tcW w:type="dxa" w:w="1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트랙 분기 최적 제어</w:t>
            </w:r>
          </w:p>
        </w:tc>
      </w:tr>
      <w:tr>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val="false"/>
                <w:bCs w:val="false"/>
                <w:color w:val="1A1A1A"/>
                <w:sz w:val="18"/>
                <w:szCs w:val="18"/>
              </w:rPr>
              <w:t xml:space="preserve">AI 실험 횟수 절감</w:t>
            </w:r>
          </w:p>
        </w:tc>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미적용</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≥20% 절감 (정량 입증)</w:t>
            </w:r>
          </w:p>
        </w:tc>
        <w:tc>
          <w:tcPr>
            <w:tcW w:type="dxa" w:w="1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폐루프 BO 적용</w:t>
            </w:r>
          </w:p>
        </w:tc>
      </w:tr>
      <w:tr>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val="false"/>
                <w:bCs w:val="false"/>
                <w:color w:val="1A1A1A"/>
                <w:sz w:val="18"/>
                <w:szCs w:val="18"/>
              </w:rPr>
              <w:t xml:space="preserve">장기 운전 성능 유지율</w:t>
            </w:r>
          </w:p>
        </w:tc>
        <w:tc>
          <w:tcPr>
            <w:tcW w:type="dxa" w:w="2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미명시</w:t>
            </w:r>
          </w:p>
        </w:tc>
        <w:tc>
          <w:tcPr>
            <w:tcW w:type="dxa" w:w="24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≥90% (30일 운전)</w:t>
            </w:r>
          </w:p>
        </w:tc>
        <w:tc>
          <w:tcPr>
            <w:tcW w:type="dxa" w:w="17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공인기관 시험 성적서</w:t>
            </w:r>
          </w:p>
        </w:tc>
      </w:tr>
      <w:tr>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val="false"/>
                <w:bCs w:val="false"/>
                <w:color w:val="1A1A1A"/>
                <w:sz w:val="18"/>
                <w:szCs w:val="18"/>
              </w:rPr>
              <w:t xml:space="preserve">소재 대면적</w:t>
            </w:r>
          </w:p>
        </w:tc>
        <w:tc>
          <w:tcPr>
            <w:tcW w:type="dxa" w:w="2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소형 시편 (~수 cm²)</w:t>
            </w:r>
          </w:p>
        </w:tc>
        <w:tc>
          <w:tcPr>
            <w:tcW w:type="dxa" w:w="24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≥1,000 cm²</w:t>
            </w:r>
          </w:p>
        </w:tc>
        <w:tc>
          <w:tcPr>
            <w:tcW w:type="dxa" w:w="17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초대면적 스케일업</w:t>
            </w:r>
          </w:p>
        </w:tc>
      </w:tr>
    </w:tbl>
    <w:p>
      <w:pPr>
        <w:spacing w:before="80" w:after="60"/>
      </w:pPr>
      <w:r>
        <w:t xml:space="preserve"/>
      </w:r>
    </w:p>
    <w:p>
      <w:pPr>
        <w:pStyle w:val="Heading1"/>
        <w:pBdr>
          <w:bottom w:val="single" w:color="1F4E79" w:sz="6" w:space="4"/>
        </w:pBdr>
        <w:spacing w:before="360" w:after="180"/>
      </w:pPr>
      <w:r>
        <w:rPr>
          <w:rFonts w:ascii="맑은 고딕" w:cs="맑은 고딕" w:eastAsia="맑은 고딕" w:hAnsi="맑은 고딕"/>
          <w:b/>
          <w:bCs/>
          <w:color w:val="1F4E79"/>
          <w:sz w:val="28"/>
          <w:szCs w:val="28"/>
        </w:rPr>
        <w:t xml:space="preserve">8. 기존 문헌 및 산업 사례와의 기술 포지셔닝</w:t>
      </w:r>
    </w:p>
    <w:p>
      <w:pPr>
        <w:spacing w:before="60" w:after="40"/>
      </w:pPr>
      <w:r>
        <w:t xml:space="preserve"/>
      </w:r>
    </w:p>
    <w:p>
      <w:pPr>
        <w:pStyle w:val="Heading2"/>
        <w:spacing w:before="280" w:after="120"/>
      </w:pPr>
      <w:r>
        <w:rPr>
          <w:rFonts w:ascii="맑은 고딕" w:cs="맑은 고딕" w:eastAsia="맑은 고딕" w:hAnsi="맑은 고딕"/>
          <w:b/>
          <w:bCs/>
          <w:color w:val="2E75B6"/>
          <w:sz w:val="24"/>
          <w:szCs w:val="24"/>
        </w:rPr>
        <w:t xml:space="preserve">8.1 AI 담수화 연구 문헌과의 차별점</w:t>
      </w:r>
    </w:p>
    <w:p>
      <w:pPr>
        <w:spacing w:before="60" w:after="80" w:line="360"/>
      </w:pPr>
      <w:r>
        <w:rPr>
          <w:rFonts w:ascii="맑은 고딕" w:cs="맑은 고딕" w:eastAsia="맑은 고딕" w:hAnsi="맑은 고딕"/>
          <w:b w:val="false"/>
          <w:bCs w:val="false"/>
          <w:color w:val="1A1A1A"/>
          <w:sz w:val="20"/>
          <w:szCs w:val="20"/>
        </w:rPr>
        <w:t xml:space="preserve">본 계획서 내 참조된 11건의 AI 담수화 연구(Yang et al. 2023 ~ Talhami et al. 2025)는 모두 단일 공정 또는 단일 막 시스템에 대한 성능 예측 및 최적화에 집중한다. 이에 반해 본 연구는 소재-공정-모듈-시스템의 전 계층에 걸친 멀티스케일 AI 최적화를 구현하며, 예측 불확실성 정량화와 실험 추천 폐루프를 동시에 적용하는 점에서 문헌과 구조적으로 차별화된다.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3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문헌 연구 특성</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기존 문헌 (11건 참조)</w:t>
            </w:r>
          </w:p>
        </w:tc>
        <w:tc>
          <w:tcPr>
            <w:tcW w:type="dxa" w:w="33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본 연구</w:t>
            </w:r>
          </w:p>
        </w:tc>
      </w:tr>
      <w:tr>
        <w:tc>
          <w:tcPr>
            <w:tcW w:type="dxa" w:w="2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최적화 대상 계층</w:t>
            </w:r>
          </w:p>
        </w:tc>
        <w:tc>
          <w:tcPr>
            <w:tcW w:type="dxa" w:w="3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단일 막 또는 단일 공정</w:t>
            </w:r>
          </w:p>
        </w:tc>
        <w:tc>
          <w:tcPr>
            <w:tcW w:type="dxa" w:w="33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소재(Micro)-모듈(Meso)-시스템(Macro) 3계층</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AI 모델 역할</w:t>
            </w:r>
          </w:p>
        </w:tc>
        <w:tc>
          <w:tcPr>
            <w:tcW w:type="dxa" w:w="3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성능 예측 (사후 분석)</w:t>
            </w:r>
          </w:p>
        </w:tc>
        <w:tc>
          <w:tcPr>
            <w:tcW w:type="dxa" w:w="33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예측 + 실험 추천 + 폐루프 재학습</w:t>
            </w:r>
          </w:p>
        </w:tc>
      </w:tr>
      <w:tr>
        <w:tc>
          <w:tcPr>
            <w:tcW w:type="dxa" w:w="2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불확실성 처리</w:t>
            </w:r>
          </w:p>
        </w:tc>
        <w:tc>
          <w:tcPr>
            <w:tcW w:type="dxa" w:w="3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미적용 (점 예측)</w:t>
            </w:r>
          </w:p>
        </w:tc>
        <w:tc>
          <w:tcPr>
            <w:tcW w:type="dxa" w:w="33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앙상블 기반 신뢰구간 산출</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에너지 자립</w:t>
            </w:r>
          </w:p>
        </w:tc>
        <w:tc>
          <w:tcPr>
            <w:tcW w:type="dxa" w:w="3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미고려 (전력망 전제)</w:t>
            </w:r>
          </w:p>
        </w:tc>
        <w:tc>
          <w:tcPr>
            <w:tcW w:type="dxa" w:w="33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재생에너지 100% 자립 설계 포함</w:t>
            </w:r>
          </w:p>
        </w:tc>
      </w:tr>
      <w:tr>
        <w:tc>
          <w:tcPr>
            <w:tcW w:type="dxa" w:w="20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bCs/>
                <w:color w:val="1A1A1A"/>
                <w:sz w:val="18"/>
                <w:szCs w:val="18"/>
              </w:rPr>
              <w:t xml:space="preserve">소재 혁신</w:t>
            </w:r>
          </w:p>
        </w:tc>
        <w:tc>
          <w:tcPr>
            <w:tcW w:type="dxa" w:w="32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상용 멤브레인 소재</w:t>
            </w:r>
          </w:p>
        </w:tc>
        <w:tc>
          <w:tcPr>
            <w:tcW w:type="dxa" w:w="3300"/>
            <w:tcBorders>
              <w:top w:val="single" w:color="B0B0B0" w:sz="1"/>
              <w:left w:val="single" w:color="B0B0B0" w:sz="1"/>
              <w:bottom w:val="single" w:color="B0B0B0" w:sz="1"/>
              <w:right w:val="single" w:color="B0B0B0" w:sz="1"/>
            </w:tcBorders>
            <w:shd w:fill="F7FB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폐플라스틱 업사이클링 3DGN 신소재</w:t>
            </w:r>
          </w:p>
        </w:tc>
      </w:tr>
      <w:tr>
        <w:tc>
          <w:tcPr>
            <w:tcW w:type="dxa" w:w="20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center"/>
            </w:pPr>
            <w:r>
              <w:rPr>
                <w:rFonts w:ascii="맑은 고딕" w:cs="맑은 고딕" w:eastAsia="맑은 고딕" w:hAnsi="맑은 고딕"/>
                <w:b w:val="false"/>
                <w:bCs w:val="false"/>
                <w:color w:val="1A1A1A"/>
                <w:sz w:val="18"/>
                <w:szCs w:val="18"/>
              </w:rPr>
              <w:t xml:space="preserve">실증 범위</w:t>
            </w:r>
          </w:p>
        </w:tc>
        <w:tc>
          <w:tcPr>
            <w:tcW w:type="dxa" w:w="32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Lab-scale 단기</w:t>
            </w:r>
          </w:p>
        </w:tc>
        <w:tc>
          <w:tcPr>
            <w:tcW w:type="dxa" w:w="3300"/>
            <w:tcBorders>
              <w:top w:val="single" w:color="B0B0B0" w:sz="1"/>
              <w:left w:val="single" w:color="B0B0B0" w:sz="1"/>
              <w:bottom w:val="single" w:color="B0B0B0" w:sz="1"/>
              <w:right w:val="single" w:color="B0B0B0" w:sz="1"/>
            </w:tcBorders>
            <w:shd w:fill="FFFFFF" w:val="clear"/>
            <w:tcMar>
              <w:top w:type="dxa" w:w="80"/>
              <w:left w:type="dxa" w:w="140"/>
              <w:bottom w:type="dxa" w:w="80"/>
              <w:right w:type="dxa" w:w="140"/>
            </w:tcMar>
            <w:vAlign w:val="center"/>
          </w:tcPr>
          <w:p>
            <w:pPr>
              <w:spacing w:line="320"/>
              <w:jc w:val="left"/>
            </w:pPr>
            <w:r>
              <w:rPr>
                <w:rFonts w:ascii="맑은 고딕" w:cs="맑은 고딕" w:eastAsia="맑은 고딕" w:hAnsi="맑은 고딕"/>
                <w:b w:val="false"/>
                <w:bCs w:val="false"/>
                <w:color w:val="1A1A1A"/>
                <w:sz w:val="18"/>
                <w:szCs w:val="18"/>
              </w:rPr>
              <w:t xml:space="preserve">야외 24h 연속 / 30일 장기 / ≥3회 반복</w:t>
            </w:r>
          </w:p>
        </w:tc>
      </w:tr>
    </w:tbl>
    <w:p>
      <w:pPr>
        <w:spacing w:before="80" w:after="60"/>
      </w:pPr>
      <w:r>
        <w:t xml:space="preserve"/>
      </w:r>
    </w:p>
    <w:p>
      <w:pPr>
        <w:pStyle w:val="Heading2"/>
        <w:spacing w:before="280" w:after="120"/>
      </w:pPr>
      <w:r>
        <w:rPr>
          <w:rFonts w:ascii="맑은 고딕" w:cs="맑은 고딕" w:eastAsia="맑은 고딕" w:hAnsi="맑은 고딕"/>
          <w:b/>
          <w:bCs/>
          <w:color w:val="2E75B6"/>
          <w:sz w:val="24"/>
          <w:szCs w:val="24"/>
        </w:rPr>
        <w:t xml:space="preserve">8.2 글로벌 산업 사례와의 포지셔닝</w:t>
      </w:r>
    </w:p>
    <w:p>
      <w:pPr>
        <w:spacing w:before="60" w:after="60" w:line="360"/>
      </w:pPr>
      <w:r>
        <w:rPr>
          <w:rFonts w:ascii="맑은 고딕" w:cs="맑은 고딕" w:eastAsia="맑은 고딕" w:hAnsi="맑은 고딕"/>
          <w:b w:val="false"/>
          <w:bCs w:val="false"/>
          <w:color w:val="1A1A1A"/>
          <w:sz w:val="20"/>
          <w:szCs w:val="20"/>
        </w:rPr>
        <w:t xml:space="preserve">사우디 SWCC, UAE Taweelah·Hassyan, 싱가포르 PUB 등 세계 최대 담수화 플랜트는 모두 대형 RO 시스템(100,000 m³/d 이상)으로, 전력망 의존 및 전문 인력 상주를 전제로 한다. 스페인 테다구아, 프랑스 베올리아 등의 디지털트윈 도입 사례도 기존 대형 플랜트의 운영 최적화에 국한된다. 본 연구는 전력망·전문 인력·기존 인프라를 전혀 필요로 하지 않는 20 L/day 수준의 모듈형 무동력 시스템 시장을 표적으로 하며, 글로벌 상위 기업들이 진입하지 않은 블루오션 세그먼트에서 원천기술 우위를 확보한다.</w:t>
      </w:r>
    </w:p>
    <w:p>
      <w:pPr>
        <w:spacing w:before="100" w:after="60"/>
      </w:pPr>
      <w:r>
        <w:t xml:space="preserve"/>
      </w:r>
    </w:p>
    <w:p>
      <w:pPr>
        <w:pBdr>
          <w:top w:val="single" w:color="B0B0B0" w:sz="6" w:space="6"/>
        </w:pBdr>
        <w:spacing w:before="160" w:after="60"/>
        <w:jc w:val="center"/>
      </w:pPr>
      <w:r>
        <w:rPr>
          <w:rFonts w:ascii="맑은 고딕" w:cs="맑은 고딕" w:eastAsia="맑은 고딕" w:hAnsi="맑은 고딕"/>
          <w:color w:val="888888"/>
          <w:sz w:val="16"/>
          <w:szCs w:val="16"/>
        </w:rPr>
        <w:t xml:space="preserve">본 문서는 사업계획서(RS-2026-25528664) 및 작성 지침(고려사항.md) 기반으로 작성되었습니다.</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맑은 고딕" w:cs="맑은 고딕" w:eastAsia="맑은 고딕" w:hAnsi="맑은 고딕"/>
      <w:b/>
      <w:bCs/>
      <w:color w:val="1F4E79"/>
      <w:sz w:val="28"/>
      <w:szCs w:val="28"/>
    </w:rPr>
  </w:style>
  <w:style w:type="paragraph" w:styleId="Heading2">
    <w:name w:val="Heading 2"/>
    <w:basedOn w:val="Normal"/>
    <w:next w:val="Normal"/>
    <w:qFormat/>
    <w:pPr>
      <w:spacing w:before="280" w:after="120"/>
      <w:outlineLvl w:val="1"/>
    </w:pPr>
    <w:rPr>
      <w:rFonts w:ascii="맑은 고딕" w:cs="맑은 고딕" w:eastAsia="맑은 고딕" w:hAnsi="맑은 고딕"/>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2026-02-14T03:06:52.656Z</dcterms:created>
  <dcterms:modified xsi:type="dcterms:W3CDTF">2026-02-14T03:06:52.657Z</dcterms:modified>
</cp:coreProperties>
</file>

<file path=docProps/custom.xml><?xml version="1.0" encoding="utf-8"?>
<Properties xmlns="http://schemas.openxmlformats.org/officeDocument/2006/custom-properties" xmlns:vt="http://schemas.openxmlformats.org/officeDocument/2006/docPropsVTypes"/>
</file>