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Paper Reader 产品说明书</w:t>
      </w:r>
    </w:p>
    <w:p>
      <w:pPr>
        <w:jc w:val="center"/>
      </w:pPr>
      <w:r>
        <w:rPr>
          <w:i/>
          <w:color w:val="4B5563"/>
        </w:rPr>
        <w:t>面向科研初学者的论文推荐与可复现性判断工具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352"/>
      </w:tblGrid>
      <w:tr>
        <w:tc>
          <w:tcPr>
            <w:tcW w:type="dxa" w:w="2160"/>
            <w:shd w:fill="EEF2FF"/>
          </w:tcPr>
          <w:p>
            <w:r>
              <w:rPr>
                <w:b/>
              </w:rPr>
              <w:t>产品定位</w:t>
            </w:r>
          </w:p>
        </w:tc>
        <w:tc>
          <w:tcPr>
            <w:tcW w:type="dxa" w:w="8352"/>
          </w:tcPr>
          <w:p>
            <w:r>
              <w:t>帮助科研新手快速筛选值得读、值得跟做、具备复现条件的论文，并决定是否继续精读原文。</w:t>
            </w:r>
          </w:p>
        </w:tc>
      </w:tr>
      <w:tr>
        <w:tc>
          <w:tcPr>
            <w:tcW w:type="dxa" w:w="2160"/>
            <w:shd w:fill="EEF2FF"/>
          </w:tcPr>
          <w:p>
            <w:r>
              <w:rPr>
                <w:b/>
              </w:rPr>
              <w:t>当前形态</w:t>
            </w:r>
          </w:p>
        </w:tc>
        <w:tc>
          <w:tcPr>
            <w:tcW w:type="dxa" w:w="8352"/>
          </w:tcPr>
          <w:p>
            <w:r>
              <w:t>本地开发协作版（前后端分离），支持在其他电脑上完整运行并继续共同开发。</w:t>
            </w:r>
          </w:p>
        </w:tc>
      </w:tr>
      <w:tr>
        <w:tc>
          <w:tcPr>
            <w:tcW w:type="dxa" w:w="2160"/>
            <w:shd w:fill="EEF2FF"/>
          </w:tcPr>
          <w:p>
            <w:r>
              <w:rPr>
                <w:b/>
              </w:rPr>
              <w:t>已验证环境</w:t>
            </w:r>
          </w:p>
        </w:tc>
        <w:tc>
          <w:tcPr>
            <w:tcW w:type="dxa" w:w="8352"/>
          </w:tcPr>
          <w:p>
            <w:r>
              <w:t>前端：Node.js v24.14.0 / npm 11.9.0；后端：Python 3.11</w:t>
            </w:r>
          </w:p>
        </w:tc>
      </w:tr>
    </w:tbl>
    <w:p/>
    <w:p>
      <w:pPr>
        <w:pStyle w:val="Heading1"/>
      </w:pPr>
      <w:r>
        <w:t>1. 产品定位</w:t>
      </w:r>
    </w:p>
    <w:p>
      <w:r>
        <w:t>Paper Reader 不是普通的论文搜索器，而是一个偏科研决策辅助的工具。它不只告诉用户“有哪些论文”，而是进一步帮助回答：这篇论文值不值得读、适不适合新手跟做、有没有复现条件、是否值得投入时间精读。</w:t>
      </w:r>
    </w:p>
    <w:p>
      <w:pPr>
        <w:pStyle w:val="Heading2"/>
      </w:pPr>
      <w:r>
        <w:t>核心用户</w:t>
      </w:r>
    </w:p>
    <w:p>
      <w:pPr>
        <w:pStyle w:val="ListBullet"/>
        <w:spacing w:after="40"/>
        <w:ind w:left="0"/>
      </w:pPr>
      <w:r>
        <w:t>科研新手</w:t>
      </w:r>
    </w:p>
    <w:p>
      <w:pPr>
        <w:pStyle w:val="ListBullet"/>
        <w:spacing w:after="40"/>
        <w:ind w:left="0"/>
      </w:pPr>
      <w:r>
        <w:t>刚进入某个方向的学生</w:t>
      </w:r>
    </w:p>
    <w:p>
      <w:pPr>
        <w:pStyle w:val="ListBullet"/>
        <w:spacing w:after="40"/>
        <w:ind w:left="0"/>
      </w:pPr>
      <w:r>
        <w:t>希望快速筛论文的人</w:t>
      </w:r>
    </w:p>
    <w:p>
      <w:pPr>
        <w:pStyle w:val="ListBullet"/>
        <w:spacing w:after="40"/>
        <w:ind w:left="0"/>
      </w:pPr>
      <w:r>
        <w:t>想降低试错成本的研究者</w:t>
      </w:r>
    </w:p>
    <w:p>
      <w:pPr>
        <w:pStyle w:val="Heading2"/>
      </w:pPr>
      <w:r>
        <w:t>核心价值</w:t>
      </w:r>
    </w:p>
    <w:p>
      <w:pPr>
        <w:pStyle w:val="ListBullet"/>
        <w:spacing w:after="40"/>
        <w:ind w:left="0"/>
      </w:pPr>
      <w:r>
        <w:t>替用户做第一轮筛选和总结</w:t>
      </w:r>
    </w:p>
    <w:p>
      <w:pPr>
        <w:pStyle w:val="ListBullet"/>
        <w:spacing w:after="40"/>
        <w:ind w:left="0"/>
      </w:pPr>
      <w:r>
        <w:t>优先暴露更适合当前主题的论文</w:t>
      </w:r>
    </w:p>
    <w:p>
      <w:pPr>
        <w:pStyle w:val="ListBullet"/>
        <w:spacing w:after="40"/>
        <w:ind w:left="0"/>
      </w:pPr>
      <w:r>
        <w:t>突出更容易复现、资源更完整的论文</w:t>
      </w:r>
    </w:p>
    <w:p>
      <w:pPr>
        <w:pStyle w:val="ListBullet"/>
        <w:spacing w:after="40"/>
        <w:ind w:left="0"/>
      </w:pPr>
      <w:r>
        <w:t>帮助用户决定是否继续点开原文</w:t>
      </w:r>
    </w:p>
    <w:p>
      <w:pPr>
        <w:pStyle w:val="Heading1"/>
      </w:pPr>
      <w:r>
        <w:t>2. 当前产品能力</w:t>
      </w:r>
    </w:p>
    <w:p>
      <w:pPr>
        <w:pStyle w:val="Heading2"/>
      </w:pPr>
      <w:r>
        <w:t>首页推荐</w:t>
      </w:r>
    </w:p>
    <w:p>
      <w:pPr>
        <w:pStyle w:val="ListBullet"/>
        <w:spacing w:after="40"/>
        <w:ind w:left="0"/>
      </w:pPr>
      <w:r>
        <w:t>输入研究主题后抓取并分析候选论文</w:t>
      </w:r>
    </w:p>
    <w:p>
      <w:pPr>
        <w:pStyle w:val="ListBullet"/>
        <w:spacing w:after="40"/>
        <w:ind w:left="0"/>
      </w:pPr>
      <w:r>
        <w:t>展示标题、一句话总结、推荐优先级、推荐分、可复现性初判、标签等信息</w:t>
      </w:r>
    </w:p>
    <w:p>
      <w:pPr>
        <w:pStyle w:val="ListBullet"/>
        <w:spacing w:after="40"/>
        <w:ind w:left="0"/>
      </w:pPr>
      <w:r>
        <w:t>支持点击“查看详情”进入二层页面</w:t>
      </w:r>
    </w:p>
    <w:p>
      <w:pPr>
        <w:pStyle w:val="Heading2"/>
      </w:pPr>
      <w:r>
        <w:t>详情页分析</w:t>
      </w:r>
    </w:p>
    <w:p>
      <w:pPr>
        <w:pStyle w:val="ListBullet"/>
        <w:spacing w:after="40"/>
        <w:ind w:left="0"/>
      </w:pPr>
      <w:r>
        <w:t>显示日期、推荐性、创新性、可复现性等顶部信息</w:t>
      </w:r>
    </w:p>
    <w:p>
      <w:pPr>
        <w:pStyle w:val="ListBullet"/>
        <w:spacing w:after="40"/>
        <w:ind w:left="0"/>
      </w:pPr>
      <w:r>
        <w:t>四宫格快速判断：可复现性、开源代码、数据与资源、实现材料</w:t>
      </w:r>
    </w:p>
    <w:p>
      <w:pPr>
        <w:pStyle w:val="ListBullet"/>
        <w:spacing w:after="40"/>
        <w:ind w:left="0"/>
      </w:pPr>
      <w:r>
        <w:t>推荐结论、研究背景与目标、实验方法、内容摘要、创新点、局限性总结</w:t>
      </w:r>
    </w:p>
    <w:p>
      <w:pPr>
        <w:pStyle w:val="ListBullet"/>
        <w:spacing w:after="40"/>
        <w:ind w:left="0"/>
      </w:pPr>
      <w:r>
        <w:t>复现证据信号与复现资源（GitHub、数据集来源、PDF）</w:t>
      </w:r>
    </w:p>
    <w:p>
      <w:pPr>
        <w:pStyle w:val="ListBullet"/>
        <w:spacing w:after="40"/>
        <w:ind w:left="0"/>
      </w:pPr>
      <w:r>
        <w:t>查看原文按钮</w:t>
      </w:r>
    </w:p>
    <w:p>
      <w:pPr>
        <w:pStyle w:val="Heading2"/>
      </w:pPr>
      <w:r>
        <w:t>复现证据信号</w:t>
      </w:r>
    </w:p>
    <w:p>
      <w:r>
        <w:t>系统会提取并标签化复现相关线索，用于增强“可复现性判断”的可信度。典型标签包括：</w:t>
      </w:r>
    </w:p>
    <w:p>
      <w:r>
        <w:rPr>
          <w:b/>
          <w:color w:val="155E75"/>
        </w:rPr>
        <w:t>开源代码、</w:t>
      </w:r>
      <w:r>
        <w:rPr>
          <w:b/>
          <w:color w:val="155E75"/>
        </w:rPr>
        <w:t>代码实现、</w:t>
      </w:r>
      <w:r>
        <w:rPr>
          <w:b/>
          <w:color w:val="155E75"/>
        </w:rPr>
        <w:t>数据集、</w:t>
      </w:r>
      <w:r>
        <w:rPr>
          <w:b/>
          <w:color w:val="155E75"/>
        </w:rPr>
        <w:t>数据来源、</w:t>
      </w:r>
      <w:r>
        <w:rPr>
          <w:b/>
          <w:color w:val="155E75"/>
        </w:rPr>
        <w:t>模型权重、</w:t>
      </w:r>
      <w:r>
        <w:rPr>
          <w:b/>
          <w:color w:val="155E75"/>
        </w:rPr>
        <w:t>训练细节、</w:t>
      </w:r>
      <w:r>
        <w:rPr>
          <w:b/>
          <w:color w:val="155E75"/>
        </w:rPr>
        <w:t>超参数、</w:t>
      </w:r>
      <w:r>
        <w:rPr>
          <w:b/>
          <w:color w:val="155E75"/>
        </w:rPr>
        <w:t>实验设置、</w:t>
      </w:r>
      <w:r>
        <w:rPr>
          <w:b/>
          <w:color w:val="155E75"/>
        </w:rPr>
        <w:t>评价指标、</w:t>
      </w:r>
      <w:r>
        <w:rPr>
          <w:b/>
          <w:color w:val="155E75"/>
        </w:rPr>
        <w:t>模型架构、</w:t>
      </w:r>
      <w:r>
        <w:rPr>
          <w:b/>
          <w:color w:val="155E75"/>
        </w:rPr>
        <w:t>附录说明、</w:t>
      </w:r>
      <w:r>
        <w:rPr>
          <w:b/>
          <w:color w:val="155E75"/>
        </w:rPr>
        <w:t>复现步骤</w:t>
      </w:r>
    </w:p>
    <w:p>
      <w:pPr>
        <w:pStyle w:val="Heading1"/>
      </w:pPr>
      <w:r>
        <w:t>3. 典型使用流程</w:t>
      </w:r>
    </w:p>
    <w:p>
      <w:pPr>
        <w:pStyle w:val="ListNumber"/>
        <w:spacing w:after="40"/>
      </w:pPr>
      <w:r>
        <w:t>在首页输入研究主题，如 AI、LLM、抗体设计、多模态模型、RAG。</w:t>
      </w:r>
    </w:p>
    <w:p>
      <w:pPr>
        <w:pStyle w:val="ListNumber"/>
        <w:spacing w:after="40"/>
      </w:pPr>
      <w:r>
        <w:t>点击“每日推荐”，等待系统返回推荐列表。</w:t>
      </w:r>
    </w:p>
    <w:p>
      <w:pPr>
        <w:pStyle w:val="ListNumber"/>
        <w:spacing w:after="40"/>
      </w:pPr>
      <w:r>
        <w:t>先利用推荐优先级、一句话总结、可复现性标签判断是否值得点开。</w:t>
      </w:r>
    </w:p>
    <w:p>
      <w:pPr>
        <w:pStyle w:val="ListNumber"/>
        <w:spacing w:after="40"/>
      </w:pPr>
      <w:r>
        <w:t>点击“查看详情”，进一步查看复现条件、证据标签与资源入口。</w:t>
      </w:r>
    </w:p>
    <w:p>
      <w:pPr>
        <w:pStyle w:val="ListNumber"/>
        <w:spacing w:after="40"/>
      </w:pPr>
      <w:r>
        <w:t>确认值得深读后，再点击“查看原文”。</w:t>
      </w:r>
    </w:p>
    <w:p>
      <w:pPr>
        <w:pStyle w:val="Heading1"/>
      </w:pPr>
      <w:r>
        <w:t>4. 产品设计理念</w:t>
      </w:r>
    </w:p>
    <w:p>
      <w:r>
        <w:t>Paper Reader 采用“两层决策”设计：</w:t>
      </w:r>
    </w:p>
    <w:p>
      <w:pPr>
        <w:pStyle w:val="ListBullet"/>
        <w:spacing w:after="40"/>
        <w:ind w:left="0"/>
      </w:pPr>
      <w:r>
        <w:t>第一层：首页。解决“今天先看什么”“哪几篇优先级更高”“哪几篇更可能适合跟做”。</w:t>
      </w:r>
    </w:p>
    <w:p>
      <w:pPr>
        <w:pStyle w:val="ListBullet"/>
        <w:spacing w:after="40"/>
        <w:ind w:left="0"/>
      </w:pPr>
      <w:r>
        <w:t>第二层：详情页。解决“为什么推荐这篇”“是否具备复现条件”“是否值得继续投入时间精读”。</w:t>
      </w:r>
    </w:p>
    <w:p>
      <w:r>
        <w:t>这套设计的目的，是减少科研新手在盲目点开论文和无效阅读上的时间成本。</w:t>
      </w:r>
    </w:p>
    <w:p>
      <w:pPr>
        <w:pStyle w:val="Heading1"/>
      </w:pPr>
      <w:r>
        <w:t>5. 本地启动说明</w:t>
      </w:r>
    </w:p>
    <w:p>
      <w:pPr>
        <w:pStyle w:val="Heading2"/>
      </w:pPr>
      <w:r>
        <w:t>运行环境要求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880"/>
        <w:gridCol w:w="5760"/>
      </w:tblGrid>
      <w:tr>
        <w:tc>
          <w:tcPr>
            <w:tcW w:type="dxa" w:w="3312"/>
            <w:shd w:fill="E5E7EB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12"/>
            <w:shd w:fill="E5E7EB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3312"/>
            <w:shd w:fill="E5E7EB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t>前端</w:t>
            </w:r>
          </w:p>
        </w:tc>
        <w:tc>
          <w:tcPr>
            <w:tcW w:type="dxa" w:w="3312"/>
          </w:tcPr>
          <w:p>
            <w:r>
              <w:t>Node.js v24.14.0 / npm 11.9.0</w:t>
            </w:r>
          </w:p>
        </w:tc>
        <w:tc>
          <w:tcPr>
            <w:tcW w:type="dxa" w:w="3312"/>
          </w:tcPr>
          <w:p>
            <w:r>
              <w:t>已在当前开发环境验证通过。</w:t>
            </w:r>
          </w:p>
        </w:tc>
      </w:tr>
      <w:tr>
        <w:tc>
          <w:tcPr>
            <w:tcW w:type="dxa" w:w="3312"/>
          </w:tcPr>
          <w:p>
            <w:r>
              <w:t>后端</w:t>
            </w:r>
          </w:p>
        </w:tc>
        <w:tc>
          <w:tcPr>
            <w:tcW w:type="dxa" w:w="3312"/>
          </w:tcPr>
          <w:p>
            <w:r>
              <w:t>Python 3.11</w:t>
            </w:r>
          </w:p>
        </w:tc>
        <w:tc>
          <w:tcPr>
            <w:tcW w:type="dxa" w:w="3312"/>
          </w:tcPr>
          <w:p>
            <w:r>
              <w:t>建议固定使用 3.11；避免 Python 3.13 的依赖安装问题。</w:t>
            </w:r>
          </w:p>
        </w:tc>
      </w:tr>
    </w:tbl>
    <w:p/>
    <w:p>
      <w:pPr>
        <w:pStyle w:val="Heading2"/>
      </w:pPr>
      <w:r>
        <w:t>项目结构</w:t>
      </w:r>
    </w:p>
    <w:p>
      <w:pPr>
        <w:ind w:left="288"/>
      </w:pPr>
      <w:r>
        <w:rPr>
          <w:rFonts w:ascii="Courier New" w:hAnsi="Courier New"/>
          <w:sz w:val="20"/>
        </w:rPr>
        <w:t>paper-project/</w:t>
        <w:br/>
        <w:t xml:space="preserve">  ├─ paper-reader-ui    前端（Next.js）</w:t>
        <w:br/>
        <w:t xml:space="preserve">  └─ paper-reader-v1    后端（FastAPI / Python）</w:t>
      </w:r>
    </w:p>
    <w:p>
      <w:pPr>
        <w:pStyle w:val="Heading2"/>
      </w:pPr>
      <w:r>
        <w:t>后端启动</w:t>
      </w:r>
    </w:p>
    <w:p>
      <w:pPr>
        <w:pStyle w:val="ListBullet"/>
        <w:spacing w:after="40"/>
        <w:ind w:left="0"/>
      </w:pPr>
      <w:r>
        <w:t>进入后端目录：paper-reader-v1</w:t>
      </w:r>
    </w:p>
    <w:p>
      <w:pPr>
        <w:pStyle w:val="ListBullet"/>
        <w:spacing w:after="40"/>
        <w:ind w:left="0"/>
      </w:pPr>
      <w:r>
        <w:t>推荐方式：双击 start_backend.bat</w:t>
      </w:r>
    </w:p>
    <w:p>
      <w:pPr>
        <w:pStyle w:val="ListBullet"/>
        <w:spacing w:after="40"/>
        <w:ind w:left="0"/>
      </w:pPr>
      <w:r>
        <w:t>若脚本方式失败，可手动执行：</w:t>
      </w:r>
    </w:p>
    <w:p>
      <w:pPr>
        <w:ind w:left="648"/>
      </w:pPr>
      <w:r>
        <w:rPr>
          <w:rFonts w:ascii="Courier New" w:hAnsi="Courier New"/>
          <w:sz w:val="20"/>
        </w:rPr>
        <w:t>py -3.11 -m venv .venv</w:t>
      </w:r>
    </w:p>
    <w:p>
      <w:pPr>
        <w:ind w:left="648"/>
      </w:pPr>
      <w:r>
        <w:rPr>
          <w:rFonts w:ascii="Courier New" w:hAnsi="Courier New"/>
          <w:sz w:val="20"/>
        </w:rPr>
        <w:t>.venv\Scripts\activate</w:t>
      </w:r>
    </w:p>
    <w:p>
      <w:pPr>
        <w:ind w:left="648"/>
      </w:pPr>
      <w:r>
        <w:rPr>
          <w:rFonts w:ascii="Courier New" w:hAnsi="Courier New"/>
          <w:sz w:val="20"/>
        </w:rPr>
        <w:t>python -m pip install --upgrade pip</w:t>
      </w:r>
    </w:p>
    <w:p>
      <w:pPr>
        <w:ind w:left="648"/>
      </w:pPr>
      <w:r>
        <w:rPr>
          <w:rFonts w:ascii="Courier New" w:hAnsi="Courier New"/>
          <w:sz w:val="20"/>
        </w:rPr>
        <w:t>pip install -r requirements.txt</w:t>
      </w:r>
    </w:p>
    <w:p>
      <w:pPr>
        <w:ind w:left="648"/>
      </w:pPr>
      <w:r>
        <w:rPr>
          <w:rFonts w:ascii="Courier New" w:hAnsi="Courier New"/>
          <w:sz w:val="20"/>
        </w:rPr>
        <w:t>python -m uvicorn app.main:app --reload --host 0.0.0.0 --port 8000</w:t>
      </w:r>
    </w:p>
    <w:p>
      <w:r>
        <w:t>启动成功后，浏览器访问 http://127.0.0.1:8000/docs，若能打开接口文档页面，则说明后端正常。</w:t>
      </w:r>
    </w:p>
    <w:p>
      <w:pPr>
        <w:pStyle w:val="Heading2"/>
      </w:pPr>
      <w:r>
        <w:t>前端启动</w:t>
      </w:r>
    </w:p>
    <w:p>
      <w:pPr>
        <w:pStyle w:val="ListBullet"/>
        <w:spacing w:after="40"/>
        <w:ind w:left="0"/>
      </w:pPr>
      <w:r>
        <w:t>进入前端目录：paper-reader-ui</w:t>
      </w:r>
    </w:p>
    <w:p>
      <w:pPr>
        <w:pStyle w:val="ListBullet"/>
        <w:spacing w:after="40"/>
        <w:ind w:left="0"/>
      </w:pPr>
      <w:r>
        <w:t>推荐方式：双击 start_frontend.bat</w:t>
      </w:r>
    </w:p>
    <w:p>
      <w:pPr>
        <w:pStyle w:val="ListBullet"/>
        <w:spacing w:after="40"/>
        <w:ind w:left="0"/>
      </w:pPr>
      <w:r>
        <w:t>若手动执行，请运行：</w:t>
      </w:r>
    </w:p>
    <w:p>
      <w:pPr>
        <w:ind w:left="648"/>
      </w:pPr>
      <w:r>
        <w:rPr>
          <w:rFonts w:ascii="Courier New" w:hAnsi="Courier New"/>
          <w:sz w:val="20"/>
        </w:rPr>
        <w:t>npm install</w:t>
      </w:r>
    </w:p>
    <w:p>
      <w:pPr>
        <w:ind w:left="648"/>
      </w:pPr>
      <w:r>
        <w:rPr>
          <w:rFonts w:ascii="Courier New" w:hAnsi="Courier New"/>
          <w:sz w:val="20"/>
        </w:rPr>
        <w:t>npm run dev</w:t>
      </w:r>
    </w:p>
    <w:p>
      <w:r>
        <w:t>前端启动成功后，浏览器访问 http://localhost:3000。</w:t>
      </w:r>
    </w:p>
    <w:p>
      <w:pPr>
        <w:pStyle w:val="Heading2"/>
      </w:pPr>
      <w:r>
        <w:t>联调验证</w:t>
      </w:r>
    </w:p>
    <w:p>
      <w:pPr>
        <w:pStyle w:val="ListNumber"/>
        <w:spacing w:after="40"/>
      </w:pPr>
      <w:r>
        <w:t>打开首页并输入主题，例如 AI。</w:t>
      </w:r>
    </w:p>
    <w:p>
      <w:pPr>
        <w:pStyle w:val="ListNumber"/>
        <w:spacing w:after="40"/>
      </w:pPr>
      <w:r>
        <w:t>点击“每日推荐”，确认能返回推荐列表。</w:t>
      </w:r>
    </w:p>
    <w:p>
      <w:pPr>
        <w:pStyle w:val="ListNumber"/>
        <w:spacing w:after="40"/>
      </w:pPr>
      <w:r>
        <w:t>点击“查看详情”，确认详情页能正常显示四宫格、复现证据信号和复现资源。</w:t>
      </w:r>
    </w:p>
    <w:p>
      <w:pPr>
        <w:pStyle w:val="ListNumber"/>
        <w:spacing w:after="40"/>
      </w:pPr>
      <w:r>
        <w:t>点击“查看原文”，确认可跳转。</w:t>
      </w:r>
    </w:p>
    <w:p>
      <w:pPr>
        <w:pStyle w:val="Heading1"/>
      </w:pPr>
      <w:r>
        <w:t>6. 协作者电脑如何完整使用</w:t>
      </w:r>
    </w:p>
    <w:p>
      <w:r>
        <w:t>为了让其他人在自己电脑上也能完整实现全部功能，请将以下内容一并发送给协作者：</w:t>
      </w:r>
    </w:p>
    <w:p>
      <w:pPr>
        <w:pStyle w:val="ListBullet"/>
        <w:spacing w:after="40"/>
        <w:ind w:left="0"/>
      </w:pPr>
      <w:r>
        <w:t>paper-reader-ui</w:t>
      </w:r>
    </w:p>
    <w:p>
      <w:pPr>
        <w:pStyle w:val="ListBullet"/>
        <w:spacing w:after="40"/>
        <w:ind w:left="0"/>
      </w:pPr>
      <w:r>
        <w:t>paper-reader-v1</w:t>
      </w:r>
    </w:p>
    <w:p>
      <w:pPr>
        <w:pStyle w:val="ListBullet"/>
        <w:spacing w:after="40"/>
        <w:ind w:left="0"/>
      </w:pPr>
      <w:r>
        <w:t>README.md 或本说明文档</w:t>
      </w:r>
    </w:p>
    <w:p>
      <w:pPr>
        <w:pStyle w:val="Heading2"/>
      </w:pPr>
      <w:r>
        <w:t>必须包含的关键文件</w:t>
      </w:r>
    </w:p>
    <w:p>
      <w:pPr>
        <w:pStyle w:val="ListBullet"/>
        <w:spacing w:after="40"/>
        <w:ind w:left="0"/>
      </w:pPr>
      <w:r>
        <w:t>后端目录：app/、requirements.txt、.env.example、start_backend.bat</w:t>
      </w:r>
    </w:p>
    <w:p>
      <w:pPr>
        <w:pStyle w:val="ListBullet"/>
        <w:spacing w:after="40"/>
        <w:ind w:left="0"/>
      </w:pPr>
      <w:r>
        <w:t>前端目录：app/、package.json、package-lock.json、start_frontend.bat</w:t>
      </w:r>
    </w:p>
    <w:p>
      <w:pPr>
        <w:pStyle w:val="Heading2"/>
      </w:pPr>
      <w:r>
        <w:t>协作者使用步骤</w:t>
      </w:r>
    </w:p>
    <w:p>
      <w:pPr>
        <w:pStyle w:val="ListNumber"/>
        <w:spacing w:after="40"/>
      </w:pPr>
      <w:r>
        <w:t>安装 Node.js v24.14.0（或尽量接近）与 Python 3.11。</w:t>
      </w:r>
    </w:p>
    <w:p>
      <w:pPr>
        <w:pStyle w:val="ListNumber"/>
        <w:spacing w:after="40"/>
      </w:pPr>
      <w:r>
        <w:t>解压项目到本地，例如 C:\projects\paper-project\。</w:t>
      </w:r>
    </w:p>
    <w:p>
      <w:pPr>
        <w:pStyle w:val="ListNumber"/>
        <w:spacing w:after="40"/>
      </w:pPr>
      <w:r>
        <w:t>双击 paper-reader-v1\start_backend.bat 启动后端。</w:t>
      </w:r>
    </w:p>
    <w:p>
      <w:pPr>
        <w:pStyle w:val="ListNumber"/>
        <w:spacing w:after="40"/>
      </w:pPr>
      <w:r>
        <w:t>双击 paper-reader-ui\start_frontend.bat 启动前端。</w:t>
      </w:r>
    </w:p>
    <w:p>
      <w:pPr>
        <w:pStyle w:val="ListNumber"/>
        <w:spacing w:after="40"/>
      </w:pPr>
      <w:r>
        <w:t>浏览器访问 http://localhost:3000 并按前述联调验证步骤测试。</w:t>
      </w:r>
    </w:p>
    <w:p>
      <w:pPr>
        <w:pStyle w:val="Heading1"/>
      </w:pPr>
      <w:r>
        <w:t>7. 当前阶段与后续方向</w:t>
      </w:r>
    </w:p>
    <w:p>
      <w:r>
        <w:t>当前版本属于“本地开发协作版 / MVP”。它已经具备本地运行、跨电脑复现、多人一起开发以及详情页产品化展示能力。</w:t>
      </w:r>
    </w:p>
    <w:p>
      <w:pPr>
        <w:pStyle w:val="Heading2"/>
      </w:pPr>
      <w:r>
        <w:t>后续重点优化方向</w:t>
      </w:r>
    </w:p>
    <w:p>
      <w:pPr>
        <w:pStyle w:val="ListBullet"/>
        <w:spacing w:after="40"/>
        <w:ind w:left="0"/>
      </w:pPr>
      <w:r>
        <w:t>抓取速度：针对 AI、LLM 等热门主题引入主题缓存、论文详情缓存、首页轻量返回与详情页延迟深分析。</w:t>
      </w:r>
    </w:p>
    <w:p>
      <w:pPr>
        <w:pStyle w:val="ListBullet"/>
        <w:spacing w:after="40"/>
        <w:ind w:left="0"/>
      </w:pPr>
      <w:r>
        <w:t>可复现性判断可信度：继续增强 GitHub 真实性判断、数据集来源提取、训练细节、模型权重、实验设置、附录证据等识别能力。</w:t>
      </w:r>
    </w:p>
    <w:p>
      <w:pPr>
        <w:pStyle w:val="ListBullet"/>
        <w:spacing w:after="40"/>
        <w:ind w:left="0"/>
      </w:pPr>
      <w:r>
        <w:t>产品体验：继续统一卡片层级、视觉节奏、信息去重与新手决策路径。</w:t>
      </w:r>
    </w:p>
    <w:p>
      <w:pPr>
        <w:pStyle w:val="Heading1"/>
      </w:pPr>
      <w:r>
        <w:t>8. 一句话总结</w:t>
      </w:r>
    </w:p>
    <w:p>
      <w:r>
        <w:rPr>
          <w:b/>
          <w:color w:val="111827"/>
        </w:rPr>
        <w:t>Paper Reader 是一个面向科研新手的论文推荐与可复现性判断工具，帮助用户更快筛选值得读、值得跟做、具备复现条件的论文，并决定是否进一步精读原文。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Paper Reader 产品说明书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